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drawing>
          <wp:anchor distT="0" distB="0" distL="114300" distR="114300" simplePos="0" relativeHeight="251676672" behindDoc="0" locked="0" layoutInCell="1" allowOverlap="1">
            <wp:simplePos x="0" y="0"/>
            <wp:positionH relativeFrom="column">
              <wp:posOffset>-1141095</wp:posOffset>
            </wp:positionH>
            <wp:positionV relativeFrom="paragraph">
              <wp:posOffset>-1566545</wp:posOffset>
            </wp:positionV>
            <wp:extent cx="7580630" cy="10720070"/>
            <wp:effectExtent l="0" t="0" r="1270" b="5080"/>
            <wp:wrapNone/>
            <wp:docPr id="25" name="图片 25" descr="C:\Users\Administrator\Desktop\阿坝州质量年报ddd.jpg阿坝州质量年报dd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阿坝州质量年报ddd.jpg阿坝州质量年报ddd"/>
                    <pic:cNvPicPr>
                      <a:picLocks noChangeAspect="true"/>
                    </pic:cNvPicPr>
                  </pic:nvPicPr>
                  <pic:blipFill>
                    <a:blip r:embed="rId10"/>
                    <a:srcRect/>
                    <a:stretch>
                      <a:fillRect/>
                    </a:stretch>
                  </pic:blipFill>
                  <pic:spPr>
                    <a:xfrm>
                      <a:off x="0" y="0"/>
                      <a:ext cx="7580630" cy="10720070"/>
                    </a:xfrm>
                    <a:prstGeom prst="rect">
                      <a:avLst/>
                    </a:prstGeom>
                  </pic:spPr>
                </pic:pic>
              </a:graphicData>
            </a:graphic>
          </wp:anchor>
        </w:drawing>
      </w: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jc w:val="center"/>
        <w:rPr>
          <w:rFonts w:ascii="方正小标宋简体" w:hAnsi="方正小标宋简体" w:eastAsia="方正小标宋简体" w:cs="方正小标宋简体"/>
          <w:sz w:val="52"/>
          <w:szCs w:val="52"/>
        </w:rPr>
      </w:pPr>
    </w:p>
    <w:p>
      <w:pPr>
        <w:spacing w:line="720" w:lineRule="auto"/>
        <w:rPr>
          <w:rFonts w:ascii="方正小标宋简体" w:hAnsi="方正小标宋简体" w:eastAsia="方正小标宋简体" w:cs="方正小标宋简体"/>
          <w:sz w:val="52"/>
          <w:szCs w:val="52"/>
        </w:rPr>
      </w:pPr>
    </w:p>
    <w:p>
      <w:pPr>
        <w:spacing w:line="720" w:lineRule="auto"/>
        <w:jc w:val="center"/>
        <w:rPr>
          <w:rFonts w:ascii="华文中宋" w:hAnsi="华文中宋" w:eastAsia="华文中宋" w:cs="方正小标宋简体"/>
          <w:sz w:val="52"/>
          <w:szCs w:val="52"/>
        </w:rPr>
      </w:pPr>
      <w:r>
        <w:rPr>
          <w:rFonts w:hint="eastAsia" w:ascii="华文中宋" w:hAnsi="华文中宋" w:eastAsia="华文中宋" w:cs="方正小标宋简体"/>
          <w:sz w:val="52"/>
          <w:szCs w:val="52"/>
        </w:rPr>
        <w:t>阿坝州中等职业技术学校</w:t>
      </w:r>
    </w:p>
    <w:p>
      <w:pPr>
        <w:spacing w:line="720" w:lineRule="auto"/>
        <w:jc w:val="center"/>
        <w:rPr>
          <w:rFonts w:ascii="华文中宋" w:hAnsi="华文中宋" w:eastAsia="华文中宋" w:cs="方正粗宋简体"/>
          <w:sz w:val="52"/>
          <w:szCs w:val="52"/>
        </w:rPr>
      </w:pPr>
      <w:r>
        <w:rPr>
          <w:rFonts w:ascii="华文中宋" w:hAnsi="华文中宋" w:eastAsia="华文中宋"/>
          <w:sz w:val="52"/>
          <w:szCs w:val="52"/>
        </w:rPr>
        <mc:AlternateContent>
          <mc:Choice Requires="wps">
            <w:drawing>
              <wp:anchor distT="0" distB="0" distL="114300" distR="114300" simplePos="0" relativeHeight="251670528" behindDoc="0" locked="0" layoutInCell="1" allowOverlap="1">
                <wp:simplePos x="0" y="0"/>
                <wp:positionH relativeFrom="column">
                  <wp:posOffset>748030</wp:posOffset>
                </wp:positionH>
                <wp:positionV relativeFrom="paragraph">
                  <wp:posOffset>14605</wp:posOffset>
                </wp:positionV>
                <wp:extent cx="3780155" cy="0"/>
                <wp:effectExtent l="0" t="0" r="0" b="0"/>
                <wp:wrapNone/>
                <wp:docPr id="24" name="直接连接符 11"/>
                <wp:cNvGraphicFramePr/>
                <a:graphic xmlns:a="http://schemas.openxmlformats.org/drawingml/2006/main">
                  <a:graphicData uri="http://schemas.microsoft.com/office/word/2010/wordprocessingShape">
                    <wps:wsp>
                      <wps:cNvCnPr>
                        <a:cxnSpLocks noChangeShapeType="true"/>
                      </wps:cNvCnPr>
                      <wps:spPr bwMode="auto">
                        <a:xfrm>
                          <a:off x="0" y="0"/>
                          <a:ext cx="3780155" cy="0"/>
                        </a:xfrm>
                        <a:prstGeom prst="straightConnector1">
                          <a:avLst/>
                        </a:prstGeom>
                        <a:ln>
                          <a:solidFill>
                            <a:srgbClr val="384F92"/>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直接连接符 11" o:spid="_x0000_s1026" o:spt="32" type="#_x0000_t32" style="position:absolute;left:0pt;margin-left:58.9pt;margin-top:1.15pt;height:0pt;width:297.65pt;z-index:251670528;mso-width-relative:page;mso-height-relative:page;" filled="f" stroked="t" coordsize="21600,21600" o:gfxdata="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J81C5DVAAAABwEAAA8AAAAAAAAAAQAgAAAAOAAAAGRy&#10;cy9kb3ducmV2LnhtbFBLAQIUABQAAAAIAIdO4kDHnvxE8gEAAJ8DAAAOAAAAAAAAAAEAIAAAADoB&#10;AABkcnMvZTJvRG9jLnhtbFBLBQYAAAAABgAGAFkBAACeBQAAAAA=&#10;">
                <v:fill on="f" focussize="0,0"/>
                <v:stroke color="#384F92 [3207]" joinstyle="round"/>
                <v:imagedata o:title=""/>
                <o:lock v:ext="edit" aspectratio="f"/>
              </v:shape>
            </w:pict>
          </mc:Fallback>
        </mc:AlternateContent>
      </w:r>
      <w:r>
        <w:rPr>
          <w:rFonts w:hint="eastAsia" w:ascii="华文中宋" w:hAnsi="华文中宋" w:eastAsia="华文中宋"/>
          <w:sz w:val="52"/>
          <w:szCs w:val="52"/>
        </w:rPr>
        <w:t>201</w:t>
      </w:r>
      <w:r>
        <w:rPr>
          <w:rFonts w:ascii="华文中宋" w:hAnsi="华文中宋" w:eastAsia="华文中宋"/>
          <w:color w:val="auto"/>
          <w:sz w:val="52"/>
          <w:szCs w:val="52"/>
        </w:rPr>
        <w:t>9</w:t>
      </w:r>
      <w:r>
        <w:rPr>
          <w:rFonts w:hint="eastAsia" w:ascii="华文中宋" w:hAnsi="华文中宋" w:eastAsia="华文中宋" w:cs="方正粗宋简体"/>
          <w:sz w:val="52"/>
          <w:szCs w:val="52"/>
        </w:rPr>
        <w:t>年度质量报告</w:t>
      </w:r>
    </w:p>
    <w:p>
      <w:pPr>
        <w:spacing w:line="460" w:lineRule="exact"/>
        <w:jc w:val="center"/>
        <w:rPr>
          <w:rFonts w:ascii="楷体" w:hAnsi="楷体" w:eastAsia="楷体"/>
          <w:b/>
          <w:sz w:val="44"/>
          <w:szCs w:val="44"/>
        </w:rPr>
      </w:pPr>
    </w:p>
    <w:p>
      <w:pPr>
        <w:spacing w:line="460" w:lineRule="exact"/>
        <w:jc w:val="center"/>
        <w:rPr>
          <w:rFonts w:ascii="楷体" w:hAnsi="楷体" w:eastAsia="楷体"/>
          <w:b/>
          <w:sz w:val="44"/>
          <w:szCs w:val="44"/>
        </w:rPr>
      </w:pPr>
    </w:p>
    <w:p>
      <w:pPr>
        <w:spacing w:line="460" w:lineRule="exact"/>
        <w:jc w:val="center"/>
        <w:rPr>
          <w:rFonts w:ascii="楷体" w:hAnsi="楷体" w:eastAsia="楷体"/>
          <w:b/>
          <w:sz w:val="44"/>
          <w:szCs w:val="44"/>
        </w:rPr>
      </w:pPr>
    </w:p>
    <w:p>
      <w:pPr>
        <w:spacing w:line="460" w:lineRule="exact"/>
        <w:jc w:val="center"/>
        <w:rPr>
          <w:rFonts w:ascii="楷体" w:hAnsi="楷体" w:eastAsia="楷体"/>
          <w:b/>
          <w:sz w:val="44"/>
          <w:szCs w:val="44"/>
        </w:rPr>
      </w:pPr>
    </w:p>
    <w:p>
      <w:pPr>
        <w:spacing w:line="460" w:lineRule="exact"/>
        <w:jc w:val="center"/>
        <w:rPr>
          <w:rFonts w:ascii="楷体" w:hAnsi="楷体" w:eastAsia="楷体"/>
          <w:b/>
          <w:sz w:val="44"/>
          <w:szCs w:val="44"/>
        </w:rPr>
      </w:pPr>
    </w:p>
    <w:p>
      <w:pPr>
        <w:spacing w:line="460" w:lineRule="exact"/>
        <w:jc w:val="center"/>
        <w:rPr>
          <w:rFonts w:ascii="楷体" w:hAnsi="楷体" w:eastAsia="楷体"/>
          <w:b/>
          <w:sz w:val="44"/>
          <w:szCs w:val="44"/>
        </w:rPr>
      </w:pPr>
    </w:p>
    <w:p>
      <w:pPr>
        <w:spacing w:line="460" w:lineRule="exact"/>
        <w:jc w:val="center"/>
        <w:rPr>
          <w:rFonts w:ascii="楷体" w:hAnsi="楷体" w:eastAsia="楷体"/>
          <w:b/>
          <w:sz w:val="44"/>
          <w:szCs w:val="44"/>
        </w:rPr>
      </w:pPr>
    </w:p>
    <w:p>
      <w:pPr>
        <w:spacing w:line="460" w:lineRule="exact"/>
        <w:jc w:val="center"/>
        <w:rPr>
          <w:rFonts w:ascii="楷体" w:hAnsi="楷体" w:eastAsia="楷体"/>
          <w:b/>
          <w:sz w:val="44"/>
          <w:szCs w:val="44"/>
        </w:rPr>
      </w:pPr>
    </w:p>
    <w:p>
      <w:pPr>
        <w:spacing w:line="460" w:lineRule="exact"/>
        <w:jc w:val="center"/>
        <w:rPr>
          <w:rFonts w:ascii="仿宋_GB2312" w:hAnsi="仿宋" w:eastAsia="仿宋_GB2312"/>
          <w:b/>
          <w:sz w:val="44"/>
          <w:szCs w:val="44"/>
        </w:rPr>
      </w:pPr>
    </w:p>
    <w:p>
      <w:pPr>
        <w:spacing w:line="460" w:lineRule="exact"/>
        <w:jc w:val="center"/>
        <w:rPr>
          <w:rFonts w:ascii="仿宋_GB2312" w:hAnsi="仿宋" w:eastAsia="仿宋_GB2312"/>
          <w:b/>
          <w:sz w:val="44"/>
          <w:szCs w:val="44"/>
        </w:rPr>
      </w:pPr>
    </w:p>
    <w:p>
      <w:pPr>
        <w:spacing w:line="460" w:lineRule="exact"/>
        <w:jc w:val="center"/>
        <w:rPr>
          <w:rFonts w:ascii="仿宋_GB2312" w:hAnsi="仿宋" w:eastAsia="仿宋_GB2312"/>
          <w:b/>
          <w:sz w:val="44"/>
          <w:szCs w:val="44"/>
        </w:rPr>
      </w:pPr>
    </w:p>
    <w:p>
      <w:pPr>
        <w:spacing w:line="460" w:lineRule="exact"/>
        <w:rPr>
          <w:rFonts w:ascii="仿宋_GB2312" w:hAnsi="仿宋" w:eastAsia="仿宋_GB2312"/>
          <w:b/>
          <w:sz w:val="44"/>
          <w:szCs w:val="44"/>
        </w:rPr>
      </w:pPr>
    </w:p>
    <w:p>
      <w:pPr>
        <w:spacing w:line="460" w:lineRule="exact"/>
        <w:rPr>
          <w:rFonts w:ascii="仿宋_GB2312" w:hAnsi="仿宋" w:eastAsia="仿宋_GB2312"/>
          <w:b/>
          <w:sz w:val="44"/>
          <w:szCs w:val="44"/>
        </w:rPr>
      </w:pPr>
    </w:p>
    <w:p>
      <w:pPr>
        <w:spacing w:line="460" w:lineRule="exact"/>
        <w:rPr>
          <w:rFonts w:ascii="仿宋_GB2312" w:hAnsi="仿宋" w:eastAsia="仿宋_GB2312"/>
          <w:b/>
          <w:sz w:val="44"/>
          <w:szCs w:val="44"/>
        </w:rPr>
      </w:pPr>
      <w:r>
        <w:rPr>
          <w:sz w:val="44"/>
        </w:rPr>
        <mc:AlternateContent>
          <mc:Choice Requires="wps">
            <w:drawing>
              <wp:anchor distT="0" distB="0" distL="114300" distR="114300" simplePos="0" relativeHeight="251671552" behindDoc="0" locked="0" layoutInCell="1" allowOverlap="1">
                <wp:simplePos x="0" y="0"/>
                <wp:positionH relativeFrom="column">
                  <wp:posOffset>581025</wp:posOffset>
                </wp:positionH>
                <wp:positionV relativeFrom="paragraph">
                  <wp:posOffset>289560</wp:posOffset>
                </wp:positionV>
                <wp:extent cx="3180080" cy="977265"/>
                <wp:effectExtent l="0" t="0" r="20320" b="13335"/>
                <wp:wrapNone/>
                <wp:docPr id="22" name="矩形 5"/>
                <wp:cNvGraphicFramePr/>
                <a:graphic xmlns:a="http://schemas.openxmlformats.org/drawingml/2006/main">
                  <a:graphicData uri="http://schemas.microsoft.com/office/word/2010/wordprocessingShape">
                    <wps:wsp>
                      <wps:cNvSpPr/>
                      <wps:spPr>
                        <a:xfrm>
                          <a:off x="0" y="0"/>
                          <a:ext cx="3180080" cy="9772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widowControl/>
                              <w:jc w:val="distribute"/>
                              <w:rPr>
                                <w:rFonts w:ascii="华文中宋" w:hAnsi="华文中宋" w:eastAsia="华文中宋" w:cs="方正小标宋简体"/>
                                <w:color w:val="000000"/>
                                <w:kern w:val="0"/>
                                <w:sz w:val="36"/>
                                <w:szCs w:val="36"/>
                              </w:rPr>
                            </w:pPr>
                            <w:r>
                              <w:rPr>
                                <w:rFonts w:hint="eastAsia" w:ascii="华文中宋" w:hAnsi="华文中宋" w:eastAsia="华文中宋" w:cs="方正小标宋简体"/>
                                <w:color w:val="000000"/>
                                <w:kern w:val="0"/>
                                <w:sz w:val="36"/>
                                <w:szCs w:val="36"/>
                              </w:rPr>
                              <w:t>阿坝州中等职业技术学校</w:t>
                            </w:r>
                          </w:p>
                          <w:p>
                            <w:pPr>
                              <w:widowControl/>
                              <w:jc w:val="distribute"/>
                              <w:rPr>
                                <w:rFonts w:ascii="华文中宋" w:hAnsi="华文中宋" w:eastAsia="华文中宋" w:cs="方正小标宋简体"/>
                                <w:color w:val="000000"/>
                                <w:kern w:val="0"/>
                                <w:sz w:val="36"/>
                                <w:szCs w:val="36"/>
                              </w:rPr>
                            </w:pPr>
                            <w:r>
                              <w:rPr>
                                <w:rFonts w:hint="eastAsia" w:ascii="华文中宋" w:hAnsi="华文中宋" w:eastAsia="华文中宋" w:cs="方正小标宋简体"/>
                                <w:color w:val="000000"/>
                                <w:kern w:val="0"/>
                                <w:sz w:val="36"/>
                                <w:szCs w:val="36"/>
                              </w:rPr>
                              <w:t>北京中思远信息科学研究院</w:t>
                            </w:r>
                          </w:p>
                          <w:p>
                            <w:pPr>
                              <w:widowControl/>
                              <w:spacing w:before="79" w:beforeLines="25" w:after="79" w:afterLines="25"/>
                              <w:jc w:val="distribute"/>
                              <w:rPr>
                                <w:rFonts w:ascii="华文中宋" w:hAnsi="华文中宋" w:eastAsia="华文中宋" w:cs="方正小标宋简体"/>
                                <w:color w:val="000000"/>
                                <w:kern w:val="0"/>
                                <w:sz w:val="36"/>
                                <w:szCs w:val="36"/>
                              </w:rPr>
                            </w:pPr>
                          </w:p>
                          <w:p>
                            <w:pPr>
                              <w:widowControl/>
                              <w:spacing w:line="560" w:lineRule="exact"/>
                              <w:jc w:val="distribute"/>
                              <w:rPr>
                                <w:rFonts w:eastAsia="方正小标宋简体"/>
                                <w:color w:val="000000"/>
                                <w:kern w:val="0"/>
                                <w:sz w:val="36"/>
                                <w:szCs w:val="36"/>
                              </w:rPr>
                            </w:pPr>
                          </w:p>
                        </w:txbxContent>
                      </wps:txbx>
                      <wps:bodyPr upright="true"/>
                    </wps:wsp>
                  </a:graphicData>
                </a:graphic>
              </wp:anchor>
            </w:drawing>
          </mc:Choice>
          <mc:Fallback>
            <w:pict>
              <v:rect id="矩形 5" o:spid="_x0000_s1026" o:spt="1" style="position:absolute;left:0pt;margin-left:45.75pt;margin-top:22.8pt;height:76.95pt;width:250.4pt;z-index:251671552;mso-width-relative:page;mso-height-relative:page;" fillcolor="#FFFFFF" filled="t" stroked="t" coordsize="21600,21600" o:gfxdata="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RezLCdcAAAAJAQAADwAAAAAAAAABACAAAAA4AAAAZHJzL2Rvd25yZXYu&#10;eG1sUEsBAhQAFAAAAAgAh07iQL5lIJLmAQAA3wMAAA4AAAAAAAAAAQAgAAAAPAEAAGRycy9lMm9E&#10;b2MueG1sUEsFBgAAAAAGAAYAWQEAAJQFAAAAAA==&#10;">
                <v:fill on="t" focussize="0,0"/>
                <v:stroke color="#FFFFFF" joinstyle="miter"/>
                <v:imagedata o:title=""/>
                <o:lock v:ext="edit" aspectratio="f"/>
                <v:textbox>
                  <w:txbxContent>
                    <w:p>
                      <w:pPr>
                        <w:widowControl/>
                        <w:jc w:val="distribute"/>
                        <w:rPr>
                          <w:rFonts w:ascii="华文中宋" w:hAnsi="华文中宋" w:eastAsia="华文中宋" w:cs="方正小标宋简体"/>
                          <w:color w:val="000000"/>
                          <w:kern w:val="0"/>
                          <w:sz w:val="36"/>
                          <w:szCs w:val="36"/>
                        </w:rPr>
                      </w:pPr>
                      <w:r>
                        <w:rPr>
                          <w:rFonts w:hint="eastAsia" w:ascii="华文中宋" w:hAnsi="华文中宋" w:eastAsia="华文中宋" w:cs="方正小标宋简体"/>
                          <w:color w:val="000000"/>
                          <w:kern w:val="0"/>
                          <w:sz w:val="36"/>
                          <w:szCs w:val="36"/>
                        </w:rPr>
                        <w:t>阿坝州中等职业技术学校</w:t>
                      </w:r>
                    </w:p>
                    <w:p>
                      <w:pPr>
                        <w:widowControl/>
                        <w:jc w:val="distribute"/>
                        <w:rPr>
                          <w:rFonts w:ascii="华文中宋" w:hAnsi="华文中宋" w:eastAsia="华文中宋" w:cs="方正小标宋简体"/>
                          <w:color w:val="000000"/>
                          <w:kern w:val="0"/>
                          <w:sz w:val="36"/>
                          <w:szCs w:val="36"/>
                        </w:rPr>
                      </w:pPr>
                      <w:r>
                        <w:rPr>
                          <w:rFonts w:hint="eastAsia" w:ascii="华文中宋" w:hAnsi="华文中宋" w:eastAsia="华文中宋" w:cs="方正小标宋简体"/>
                          <w:color w:val="000000"/>
                          <w:kern w:val="0"/>
                          <w:sz w:val="36"/>
                          <w:szCs w:val="36"/>
                        </w:rPr>
                        <w:t>北京中思远信息科学研究院</w:t>
                      </w:r>
                    </w:p>
                    <w:p>
                      <w:pPr>
                        <w:widowControl/>
                        <w:spacing w:before="79" w:beforeLines="25" w:after="79" w:afterLines="25"/>
                        <w:jc w:val="distribute"/>
                        <w:rPr>
                          <w:rFonts w:ascii="华文中宋" w:hAnsi="华文中宋" w:eastAsia="华文中宋" w:cs="方正小标宋简体"/>
                          <w:color w:val="000000"/>
                          <w:kern w:val="0"/>
                          <w:sz w:val="36"/>
                          <w:szCs w:val="36"/>
                        </w:rPr>
                      </w:pPr>
                    </w:p>
                    <w:p>
                      <w:pPr>
                        <w:widowControl/>
                        <w:spacing w:line="560" w:lineRule="exact"/>
                        <w:jc w:val="distribute"/>
                        <w:rPr>
                          <w:rFonts w:eastAsia="方正小标宋简体"/>
                          <w:color w:val="000000"/>
                          <w:kern w:val="0"/>
                          <w:sz w:val="36"/>
                          <w:szCs w:val="36"/>
                        </w:rPr>
                      </w:pPr>
                    </w:p>
                  </w:txbxContent>
                </v:textbox>
              </v:rect>
            </w:pict>
          </mc:Fallback>
        </mc:AlternateContent>
      </w:r>
    </w:p>
    <w:p>
      <w:pPr>
        <w:spacing w:line="460" w:lineRule="exact"/>
        <w:jc w:val="center"/>
        <w:rPr>
          <w:rFonts w:ascii="仿宋_GB2312" w:hAnsi="仿宋" w:eastAsia="仿宋_GB2312"/>
          <w:b/>
          <w:sz w:val="44"/>
          <w:szCs w:val="44"/>
        </w:rPr>
      </w:pPr>
      <w:r>
        <w:rPr>
          <w:sz w:val="44"/>
        </w:rPr>
        <mc:AlternateContent>
          <mc:Choice Requires="wps">
            <w:drawing>
              <wp:anchor distT="0" distB="0" distL="114300" distR="114300" simplePos="0" relativeHeight="251672576" behindDoc="0" locked="0" layoutInCell="1" allowOverlap="1">
                <wp:simplePos x="0" y="0"/>
                <wp:positionH relativeFrom="column">
                  <wp:posOffset>3777615</wp:posOffset>
                </wp:positionH>
                <wp:positionV relativeFrom="paragraph">
                  <wp:posOffset>165735</wp:posOffset>
                </wp:positionV>
                <wp:extent cx="1156335" cy="598805"/>
                <wp:effectExtent l="0" t="0" r="24765" b="10795"/>
                <wp:wrapNone/>
                <wp:docPr id="21" name="矩形 6"/>
                <wp:cNvGraphicFramePr/>
                <a:graphic xmlns:a="http://schemas.openxmlformats.org/drawingml/2006/main">
                  <a:graphicData uri="http://schemas.microsoft.com/office/word/2010/wordprocessingShape">
                    <wps:wsp>
                      <wps:cNvSpPr/>
                      <wps:spPr>
                        <a:xfrm>
                          <a:off x="0" y="0"/>
                          <a:ext cx="1156335" cy="5988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widowControl/>
                              <w:spacing w:before="79" w:beforeLines="25" w:after="79" w:afterLines="25"/>
                              <w:jc w:val="center"/>
                              <w:rPr>
                                <w:rFonts w:ascii="华文中宋" w:hAnsi="华文中宋" w:eastAsia="华文中宋"/>
                                <w:color w:val="000000"/>
                                <w:kern w:val="0"/>
                                <w:sz w:val="36"/>
                                <w:szCs w:val="36"/>
                              </w:rPr>
                            </w:pPr>
                            <w:r>
                              <w:rPr>
                                <w:rFonts w:hint="eastAsia" w:ascii="华文中宋" w:hAnsi="华文中宋" w:eastAsia="华文中宋"/>
                                <w:color w:val="000000"/>
                                <w:kern w:val="0"/>
                                <w:sz w:val="36"/>
                                <w:szCs w:val="36"/>
                              </w:rPr>
                              <w:t>联合编制</w:t>
                            </w:r>
                          </w:p>
                          <w:p/>
                        </w:txbxContent>
                      </wps:txbx>
                      <wps:bodyPr upright="true"/>
                    </wps:wsp>
                  </a:graphicData>
                </a:graphic>
              </wp:anchor>
            </w:drawing>
          </mc:Choice>
          <mc:Fallback>
            <w:pict>
              <v:rect id="矩形 6" o:spid="_x0000_s1026" o:spt="1" style="position:absolute;left:0pt;margin-left:297.45pt;margin-top:13.05pt;height:47.15pt;width:91.05pt;z-index:251672576;mso-width-relative:page;mso-height-relative:page;" fillcolor="#FFFFFF" filled="t" stroked="t" coordsize="21600,21600" o:gfxdata="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prB/f9gAAAAKAQAADwAAAAAAAAABACAAAAA4AAAAZHJzL2Rvd25yZXYu&#10;eG1sUEsBAhQAFAAAAAgAh07iQEH9AHjlAQAA3wMAAA4AAAAAAAAAAQAgAAAAPQEAAGRycy9lMm9E&#10;b2MueG1sUEsFBgAAAAAGAAYAWQEAAJQFAAAAAA==&#10;">
                <v:fill on="t" focussize="0,0"/>
                <v:stroke color="#FFFFFF" joinstyle="miter"/>
                <v:imagedata o:title=""/>
                <o:lock v:ext="edit" aspectratio="f"/>
                <v:textbox>
                  <w:txbxContent>
                    <w:p>
                      <w:pPr>
                        <w:widowControl/>
                        <w:spacing w:before="79" w:beforeLines="25" w:after="79" w:afterLines="25"/>
                        <w:jc w:val="center"/>
                        <w:rPr>
                          <w:rFonts w:ascii="华文中宋" w:hAnsi="华文中宋" w:eastAsia="华文中宋"/>
                          <w:color w:val="000000"/>
                          <w:kern w:val="0"/>
                          <w:sz w:val="36"/>
                          <w:szCs w:val="36"/>
                        </w:rPr>
                      </w:pPr>
                      <w:r>
                        <w:rPr>
                          <w:rFonts w:hint="eastAsia" w:ascii="华文中宋" w:hAnsi="华文中宋" w:eastAsia="华文中宋"/>
                          <w:color w:val="000000"/>
                          <w:kern w:val="0"/>
                          <w:sz w:val="36"/>
                          <w:szCs w:val="36"/>
                        </w:rPr>
                        <w:t>联合编制</w:t>
                      </w:r>
                    </w:p>
                    <w:p/>
                  </w:txbxContent>
                </v:textbox>
              </v:rect>
            </w:pict>
          </mc:Fallback>
        </mc:AlternateContent>
      </w:r>
    </w:p>
    <w:p>
      <w:pPr>
        <w:spacing w:line="460" w:lineRule="exact"/>
        <w:jc w:val="center"/>
        <w:rPr>
          <w:rFonts w:ascii="仿宋_GB2312" w:hAnsi="仿宋" w:eastAsia="仿宋_GB2312"/>
          <w:b/>
          <w:sz w:val="44"/>
          <w:szCs w:val="44"/>
        </w:rPr>
      </w:pPr>
    </w:p>
    <w:p>
      <w:pPr>
        <w:spacing w:line="460" w:lineRule="exact"/>
        <w:jc w:val="center"/>
        <w:rPr>
          <w:rFonts w:ascii="仿宋_GB2312" w:hAnsi="仿宋" w:eastAsia="仿宋_GB2312"/>
          <w:b/>
          <w:sz w:val="44"/>
          <w:szCs w:val="44"/>
        </w:rPr>
      </w:pPr>
    </w:p>
    <w:p>
      <w:pPr>
        <w:spacing w:line="460" w:lineRule="exact"/>
        <w:jc w:val="center"/>
        <w:rPr>
          <w:rFonts w:ascii="仿宋_GB2312" w:hAnsi="仿宋" w:eastAsia="仿宋_GB2312"/>
          <w:b/>
          <w:sz w:val="44"/>
          <w:szCs w:val="44"/>
        </w:rPr>
      </w:pPr>
    </w:p>
    <w:p>
      <w:pPr>
        <w:jc w:val="center"/>
        <w:rPr>
          <w:rStyle w:val="24"/>
          <w:rFonts w:ascii="宋体" w:hAnsi="宋体" w:cs="宋体"/>
        </w:rPr>
      </w:pPr>
      <w:r>
        <w:rPr>
          <w:rFonts w:hint="eastAsia" w:ascii="宋体" w:hAnsi="宋体" w:cs="宋体"/>
          <w:b/>
          <w:bCs w:val="0"/>
          <w:sz w:val="36"/>
          <w:szCs w:val="36"/>
        </w:rPr>
        <w:t>2019年12月</w:t>
      </w:r>
      <w:r>
        <w:rPr>
          <w:rStyle w:val="24"/>
          <w:rFonts w:hint="eastAsia" w:ascii="宋体" w:hAnsi="宋体" w:cs="宋体"/>
          <w:b/>
          <w:bCs w:val="0"/>
        </w:rPr>
        <w:t xml:space="preserve"> </w:t>
      </w:r>
      <w:r>
        <w:rPr>
          <w:rStyle w:val="24"/>
          <w:rFonts w:hint="eastAsia" w:ascii="宋体" w:hAnsi="宋体" w:cs="宋体"/>
        </w:rPr>
        <w:t xml:space="preserve">     </w:t>
      </w:r>
    </w:p>
    <w:p>
      <w:pPr>
        <w:jc w:val="center"/>
        <w:rPr>
          <w:rStyle w:val="24"/>
          <w:rFonts w:ascii="宋体" w:hAnsi="宋体" w:cs="宋体"/>
        </w:rPr>
      </w:pPr>
    </w:p>
    <w:p>
      <w:pPr>
        <w:rPr>
          <w:rStyle w:val="24"/>
          <w:rFonts w:hint="eastAsia" w:ascii="宋体" w:hAnsi="宋体" w:cs="宋体"/>
        </w:rPr>
      </w:pPr>
    </w:p>
    <w:p>
      <w:pPr>
        <w:rPr>
          <w:rFonts w:ascii="仿宋_GB2312" w:hAnsi="宋体" w:eastAsia="仿宋_GB2312"/>
          <w:color w:val="000000"/>
          <w:sz w:val="32"/>
          <w:szCs w:val="32"/>
        </w:rPr>
      </w:pPr>
      <w:r>
        <w:rPr>
          <w:rStyle w:val="24"/>
          <w:rFonts w:hint="eastAsia" w:ascii="宋体" w:hAnsi="宋体" w:cs="宋体"/>
        </w:rPr>
        <w:t xml:space="preserve">   </w:t>
      </w:r>
      <w:r>
        <w:rPr>
          <w:rStyle w:val="24"/>
          <w:rFonts w:hint="eastAsia"/>
        </w:rPr>
        <w:t xml:space="preserve">                                                                                                                                   </w:t>
      </w:r>
      <w:r>
        <w:rPr>
          <w:sz w:val="24"/>
        </w:rPr>
        <mc:AlternateContent>
          <mc:Choice Requires="wpg">
            <w:drawing>
              <wp:anchor distT="0" distB="0" distL="114300" distR="114300" simplePos="0" relativeHeight="251677696" behindDoc="0" locked="0" layoutInCell="1" allowOverlap="1">
                <wp:simplePos x="0" y="0"/>
                <wp:positionH relativeFrom="column">
                  <wp:posOffset>-86995</wp:posOffset>
                </wp:positionH>
                <wp:positionV relativeFrom="paragraph">
                  <wp:posOffset>90805</wp:posOffset>
                </wp:positionV>
                <wp:extent cx="5394960" cy="403225"/>
                <wp:effectExtent l="0" t="0" r="15240" b="15875"/>
                <wp:wrapNone/>
                <wp:docPr id="152" name="组合 152"/>
                <wp:cNvGraphicFramePr/>
                <a:graphic xmlns:a="http://schemas.openxmlformats.org/drawingml/2006/main">
                  <a:graphicData uri="http://schemas.microsoft.com/office/word/2010/wordprocessingGroup">
                    <wpg:wgp>
                      <wpg:cNvGrpSpPr/>
                      <wpg:grpSpPr>
                        <a:xfrm>
                          <a:off x="0" y="0"/>
                          <a:ext cx="5394960" cy="403225"/>
                          <a:chOff x="1943" y="34781"/>
                          <a:chExt cx="8496" cy="635"/>
                        </a:xfrm>
                      </wpg:grpSpPr>
                      <pic:pic xmlns:pic="http://schemas.openxmlformats.org/drawingml/2006/picture">
                        <pic:nvPicPr>
                          <pic:cNvPr id="63" name="图片 1" descr="C:/Users/ADMINI~1/AppData/Local/Temp/kaimatting_20191129154330/output_20191129154336..pngoutput_20191129154336."/>
                          <pic:cNvPicPr>
                            <a:picLocks noChangeAspect="true"/>
                          </pic:cNvPicPr>
                        </pic:nvPicPr>
                        <pic:blipFill>
                          <a:blip r:embed="rId11"/>
                          <a:srcRect/>
                          <a:stretch>
                            <a:fillRect/>
                          </a:stretch>
                        </pic:blipFill>
                        <pic:spPr>
                          <a:xfrm rot="10800000">
                            <a:off x="5622" y="34781"/>
                            <a:ext cx="1096" cy="635"/>
                          </a:xfrm>
                          <a:prstGeom prst="rect">
                            <a:avLst/>
                          </a:prstGeom>
                          <a:noFill/>
                          <a:ln>
                            <a:noFill/>
                          </a:ln>
                        </pic:spPr>
                      </pic:pic>
                      <wpg:grpSp>
                        <wpg:cNvPr id="136" name="组合 57"/>
                        <wpg:cNvGrpSpPr/>
                        <wpg:grpSpPr>
                          <a:xfrm rot="10800000">
                            <a:off x="6853" y="35077"/>
                            <a:ext cx="3586" cy="105"/>
                            <a:chOff x="1943" y="46456"/>
                            <a:chExt cx="3586" cy="105"/>
                          </a:xfrm>
                          <a:noFill/>
                        </wpg:grpSpPr>
                        <wps:wsp>
                          <wps:cNvPr id="137" name="矩形 55"/>
                          <wps:cNvSpPr/>
                          <wps:spPr>
                            <a:xfrm>
                              <a:off x="1943" y="46456"/>
                              <a:ext cx="3586" cy="57"/>
                            </a:xfrm>
                            <a:prstGeom prst="rect">
                              <a:avLst/>
                            </a:prstGeom>
                            <a:solidFill>
                              <a:srgbClr val="2917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138" name="矩形 56"/>
                          <wps:cNvSpPr/>
                          <wps:spPr>
                            <a:xfrm>
                              <a:off x="1943" y="46545"/>
                              <a:ext cx="3586" cy="17"/>
                            </a:xfrm>
                            <a:prstGeom prst="rect">
                              <a:avLst/>
                            </a:prstGeom>
                            <a:solidFill>
                              <a:srgbClr val="2917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g:grpSp>
                      <wpg:grpSp>
                        <wpg:cNvPr id="139" name="组合 58"/>
                        <wpg:cNvGrpSpPr/>
                        <wpg:grpSpPr>
                          <a:xfrm rot="10800000">
                            <a:off x="1943" y="35077"/>
                            <a:ext cx="3586" cy="105"/>
                            <a:chOff x="1943" y="46456"/>
                            <a:chExt cx="3586" cy="105"/>
                          </a:xfrm>
                          <a:noFill/>
                        </wpg:grpSpPr>
                        <wps:wsp>
                          <wps:cNvPr id="140" name="矩形 55"/>
                          <wps:cNvSpPr/>
                          <wps:spPr>
                            <a:xfrm>
                              <a:off x="1943" y="46456"/>
                              <a:ext cx="3586" cy="57"/>
                            </a:xfrm>
                            <a:prstGeom prst="rect">
                              <a:avLst/>
                            </a:prstGeom>
                            <a:solidFill>
                              <a:srgbClr val="2917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141" name="矩形 56"/>
                          <wps:cNvSpPr/>
                          <wps:spPr>
                            <a:xfrm>
                              <a:off x="1943" y="46545"/>
                              <a:ext cx="3586" cy="17"/>
                            </a:xfrm>
                            <a:prstGeom prst="rect">
                              <a:avLst/>
                            </a:prstGeom>
                            <a:solidFill>
                              <a:srgbClr val="2917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g:grpSp>
                    </wpg:wgp>
                  </a:graphicData>
                </a:graphic>
              </wp:anchor>
            </w:drawing>
          </mc:Choice>
          <mc:Fallback>
            <w:pict>
              <v:group id="_x0000_s1026" o:spid="_x0000_s1026" o:spt="203" style="position:absolute;left:0pt;margin-left:-6.85pt;margin-top:7.15pt;height:31.75pt;width:424.8pt;z-index:251677696;mso-width-relative:page;mso-height-relative:page;" coordorigin="1943,34781" coordsize="8496,635" o:gfxdata="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">
                <o:lock v:ext="edit" aspectratio="f"/>
                <v:shape id="图片 1" o:spid="_x0000_s1026" o:spt="75" alt="C:/Users/ADMINI~1/AppData/Local/Temp/kaimatting_20191129154330/output_20191129154336..pngoutput_20191129154336." type="#_x0000_t75" style="position:absolute;left:5622;top:34781;height:635;width:1096;rotation:11796480f;" filled="f" o:preferrelative="t" stroked="f" coordsize="21600,21600" o:gfxdata="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cIOw70AAADbAAAADwAAAAAAAAABACAAAAA4AAAAZHJzL2Rvd25yZXYu&#10;eG1sUEsBAhQAFAAAAAgAh07iQDMvBZ47AAAAOQAAABAAAAAAAAAAAQAgAAAAIgEAAGRycy9zaGFw&#10;ZXhtbC54bWxQSwUGAAAAAAYABgBbAQAAzAMAAAAA&#10;">
                  <v:fill on="f" focussize="0,0"/>
                  <v:stroke on="f"/>
                  <v:imagedata r:id="rId11" o:title=""/>
                  <o:lock v:ext="edit" aspectratio="t"/>
                </v:shape>
                <v:group id="组合 57" o:spid="_x0000_s1026" o:spt="203" style="position:absolute;left:6853;top:35077;height:105;width:3586;rotation:11796480f;" coordorigin="1943,46456" coordsize="3586,105" o:gfxdata="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fFDMCbwAAADcAAAADwAAAAAAAAABACAA&#10;AAA4AAAAZHJzL2Rvd25yZXYueG1sUEsBAhQAFAAAAAgAh07iQDMvBZ47AAAAOQAAABUAAAAAAAAA&#10;AQAgAAAAIQEAAGRycy9ncm91cHNoYXBleG1sLnhtbFBLBQYAAAAABgAGAGABAADeAwAAAAA=&#10;">
                  <o:lock v:ext="edit" aspectratio="f"/>
                  <v:rect id="矩形 55" o:spid="_x0000_s1026" o:spt="1" style="position:absolute;left:1943;top:46456;height:57;width:3586;v-text-anchor:middle;" fillcolor="#291770" filled="t" stroked="f" coordsize="21600,21600" o:gfxdata="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a6+IvAAAANwAAAAPAAAAAAAAAAEAIAAAADgAAABkcnMvZG93bnJldi54&#10;bWxQSwECFAAUAAAACACHTuJAMy8FnjsAAAA5AAAAEAAAAAAAAAABACAAAAAhAQAAZHJzL3NoYXBl&#10;eG1sLnhtbFBLBQYAAAAABgAGAFsBAADLAwAAAAA=&#10;">
                    <v:fill on="t" focussize="0,0"/>
                    <v:stroke on="f" weight="2pt"/>
                    <v:imagedata o:title=""/>
                    <o:lock v:ext="edit" aspectratio="f"/>
                  </v:rect>
                  <v:rect id="矩形 56" o:spid="_x0000_s1026" o:spt="1" style="position:absolute;left:1943;top:46545;height:17;width:3586;v-text-anchor:middle;" fillcolor="#291770" filled="t" stroked="f" coordsize="21600,21600" o:gfxdata="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PQ7+r0AAADcAAAADwAAAAAAAAABACAAAAA4AAAAZHJzL2Rvd25yZXYu&#10;eG1sUEsBAhQAFAAAAAgAh07iQDMvBZ47AAAAOQAAABAAAAAAAAAAAQAgAAAAIgEAAGRycy9zaGFw&#10;ZXhtbC54bWxQSwUGAAAAAAYABgBbAQAAzAMAAAAA&#10;">
                    <v:fill on="t" focussize="0,0"/>
                    <v:stroke on="f" weight="2pt"/>
                    <v:imagedata o:title=""/>
                    <o:lock v:ext="edit" aspectratio="f"/>
                  </v:rect>
                </v:group>
                <v:group id="组合 58" o:spid="_x0000_s1026" o:spt="203" style="position:absolute;left:1943;top:35077;height:105;width:3586;rotation:11796480f;" coordorigin="1943,46456" coordsize="3586,105" o:gfxdata="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Dc9Ye7wAAADcAAAADwAAAAAAAAABACAA&#10;AAA4AAAAZHJzL2Rvd25yZXYueG1sUEsBAhQAFAAAAAgAh07iQDMvBZ47AAAAOQAAABUAAAAAAAAA&#10;AQAgAAAAIQEAAGRycy9ncm91cHNoYXBleG1sLnhtbFBLBQYAAAAABgAGAGABAADeAwAAAAA=&#10;">
                  <o:lock v:ext="edit" aspectratio="f"/>
                  <v:rect id="矩形 55" o:spid="_x0000_s1026" o:spt="1" style="position:absolute;left:1943;top:46456;height:57;width:3586;v-text-anchor:middle;" fillcolor="#291770" filled="t" stroked="f" coordsize="21600,21600" o:gfxdata="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6ERIG+AAAA3AAAAA8AAAAAAAAAAQAgAAAAOAAAAGRycy9kb3ducmV2&#10;LnhtbFBLAQIUABQAAAAIAIdO4kAzLwWeOwAAADkAAAAQAAAAAAAAAAEAIAAAACMBAABkcnMvc2hh&#10;cGV4bWwueG1sUEsFBgAAAAAGAAYAWwEAAM0DAAAAAA==&#10;">
                    <v:fill on="t" focussize="0,0"/>
                    <v:stroke on="f" weight="2pt"/>
                    <v:imagedata o:title=""/>
                    <o:lock v:ext="edit" aspectratio="f"/>
                  </v:rect>
                  <v:rect id="矩形 56" o:spid="_x0000_s1026" o:spt="1" style="position:absolute;left:1943;top:46545;height:17;width:3586;v-text-anchor:middle;" fillcolor="#291770" filled="t" stroked="f" coordsize="21600,21600" o:gfxdata="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HI4Rq7AAAA3AAAAA8AAAAAAAAAAQAgAAAAOAAAAGRycy9kb3ducmV2Lnht&#10;bFBLAQIUABQAAAAIAIdO4kAzLwWeOwAAADkAAAAQAAAAAAAAAAEAIAAAACABAABkcnMvc2hhcGV4&#10;bWwueG1sUEsFBgAAAAAGAAYAWwEAAMoDAAAAAA==&#10;">
                    <v:fill on="t" focussize="0,0"/>
                    <v:stroke on="f" weight="2pt"/>
                    <v:imagedata o:title=""/>
                    <o:lock v:ext="edit" aspectratio="f"/>
                  </v:rect>
                </v:group>
              </v:group>
            </w:pict>
          </mc:Fallback>
        </mc:AlternateContent>
      </w:r>
    </w:p>
    <w:p>
      <w:pPr>
        <w:spacing w:line="720" w:lineRule="auto"/>
        <w:rPr>
          <w:rFonts w:ascii="方正小标宋简体" w:hAnsi="方正小标宋简体" w:eastAsia="方正小标宋简体" w:cs="方正小标宋简体"/>
          <w:sz w:val="52"/>
          <w:szCs w:val="52"/>
        </w:rPr>
      </w:pPr>
      <w:r>
        <w:rPr>
          <w:rFonts w:ascii="方正小标宋简体" w:hAnsi="方正小标宋简体" w:eastAsia="方正小标宋简体" w:cs="方正小标宋简体"/>
          <w:sz w:val="52"/>
          <w:szCs w:val="52"/>
        </w:rPr>
        <w:drawing>
          <wp:anchor distT="0" distB="0" distL="114300" distR="114300" simplePos="0" relativeHeight="251664384" behindDoc="0" locked="0" layoutInCell="1" allowOverlap="1">
            <wp:simplePos x="0" y="0"/>
            <wp:positionH relativeFrom="column">
              <wp:posOffset>588010</wp:posOffset>
            </wp:positionH>
            <wp:positionV relativeFrom="paragraph">
              <wp:posOffset>234315</wp:posOffset>
            </wp:positionV>
            <wp:extent cx="4024630" cy="1953895"/>
            <wp:effectExtent l="0" t="0" r="13970" b="8255"/>
            <wp:wrapSquare wrapText="bothSides"/>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4024630" cy="1953895"/>
                    </a:xfrm>
                    <a:prstGeom prst="rect">
                      <a:avLst/>
                    </a:prstGeom>
                    <a:effectLst>
                      <a:softEdge rad="25400"/>
                    </a:effectLst>
                  </pic:spPr>
                </pic:pic>
              </a:graphicData>
            </a:graphic>
          </wp:anchor>
        </w:drawing>
      </w:r>
      <w:r>
        <w:rPr>
          <w:rFonts w:hint="eastAsia" w:ascii="仿宋_GB2312" w:hAnsi="宋体" w:eastAsia="仿宋_GB2312"/>
          <w:color w:val="000000"/>
          <w:sz w:val="32"/>
          <w:szCs w:val="32"/>
        </w:rPr>
        <w:t xml:space="preserve">          </w:t>
      </w:r>
    </w:p>
    <w:p>
      <w:pPr>
        <w:jc w:val="center"/>
        <w:rPr>
          <w:rFonts w:ascii="仿宋" w:hAnsi="仿宋" w:eastAsia="仿宋"/>
          <w:b/>
          <w:sz w:val="28"/>
          <w:szCs w:val="28"/>
        </w:rPr>
      </w:pPr>
    </w:p>
    <w:p>
      <w:pPr>
        <w:jc w:val="center"/>
        <w:rPr>
          <w:rFonts w:ascii="仿宋" w:hAnsi="仿宋" w:eastAsia="仿宋"/>
          <w:b/>
          <w:sz w:val="28"/>
          <w:szCs w:val="28"/>
        </w:rPr>
      </w:pPr>
    </w:p>
    <w:p>
      <w:pPr>
        <w:jc w:val="center"/>
        <w:rPr>
          <w:rFonts w:ascii="仿宋" w:hAnsi="仿宋" w:eastAsia="仿宋"/>
          <w:b/>
          <w:sz w:val="28"/>
          <w:szCs w:val="28"/>
        </w:rPr>
      </w:pPr>
    </w:p>
    <w:p>
      <w:pPr>
        <w:jc w:val="center"/>
        <w:rPr>
          <w:rFonts w:ascii="仿宋" w:hAnsi="仿宋" w:eastAsia="仿宋"/>
          <w:b/>
          <w:sz w:val="28"/>
          <w:szCs w:val="28"/>
        </w:rPr>
      </w:pPr>
    </w:p>
    <w:p>
      <w:pPr>
        <w:jc w:val="center"/>
        <w:rPr>
          <w:rFonts w:ascii="仿宋" w:hAnsi="仿宋" w:eastAsia="仿宋"/>
          <w:b/>
          <w:sz w:val="28"/>
          <w:szCs w:val="28"/>
        </w:rPr>
      </w:pPr>
      <w:r>
        <w:rPr>
          <w:rFonts w:ascii="仿宋" w:hAnsi="仿宋" w:eastAsia="仿宋"/>
          <w:b/>
          <w:sz w:val="28"/>
          <w:szCs w:val="28"/>
        </w:rPr>
        <w:drawing>
          <wp:anchor distT="0" distB="0" distL="114300" distR="114300" simplePos="0" relativeHeight="251681792" behindDoc="0" locked="0" layoutInCell="1" allowOverlap="1">
            <wp:simplePos x="0" y="0"/>
            <wp:positionH relativeFrom="column">
              <wp:posOffset>591185</wp:posOffset>
            </wp:positionH>
            <wp:positionV relativeFrom="paragraph">
              <wp:posOffset>130810</wp:posOffset>
            </wp:positionV>
            <wp:extent cx="4001770" cy="2199005"/>
            <wp:effectExtent l="0" t="0" r="17780" b="10795"/>
            <wp:wrapSquare wrapText="bothSides"/>
            <wp:docPr id="50" name="图片 50" descr="C:\Users\Administrator\Desktop\鄢主任发\校园图片\办公楼.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C:\Users\Administrator\Desktop\鄢主任发\校园图片\办公楼.JP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4001770" cy="2199005"/>
                    </a:xfrm>
                    <a:prstGeom prst="roundRect">
                      <a:avLst>
                        <a:gd name="adj" fmla="val 8594"/>
                      </a:avLst>
                    </a:prstGeom>
                    <a:solidFill>
                      <a:srgbClr val="FFFFFF">
                        <a:shade val="85000"/>
                      </a:srgbClr>
                    </a:solidFill>
                    <a:ln>
                      <a:noFill/>
                    </a:ln>
                    <a:effectLst>
                      <a:softEdge rad="50800"/>
                    </a:effectLst>
                  </pic:spPr>
                </pic:pic>
              </a:graphicData>
            </a:graphic>
          </wp:anchor>
        </w:drawing>
      </w:r>
    </w:p>
    <w:p>
      <w:pPr>
        <w:jc w:val="center"/>
        <w:rPr>
          <w:rFonts w:ascii="仿宋" w:hAnsi="仿宋" w:eastAsia="仿宋"/>
          <w:b/>
          <w:sz w:val="28"/>
          <w:szCs w:val="28"/>
        </w:rPr>
      </w:pPr>
    </w:p>
    <w:p>
      <w:pPr>
        <w:jc w:val="center"/>
        <w:rPr>
          <w:rFonts w:ascii="仿宋" w:hAnsi="仿宋" w:eastAsia="仿宋"/>
          <w:b/>
          <w:sz w:val="28"/>
          <w:szCs w:val="28"/>
        </w:rPr>
      </w:pPr>
    </w:p>
    <w:p>
      <w:pPr>
        <w:jc w:val="center"/>
        <w:rPr>
          <w:rFonts w:ascii="仿宋" w:hAnsi="仿宋" w:eastAsia="仿宋"/>
          <w:b/>
          <w:sz w:val="28"/>
          <w:szCs w:val="28"/>
        </w:rPr>
      </w:pPr>
    </w:p>
    <w:p>
      <w:pPr>
        <w:jc w:val="center"/>
        <w:rPr>
          <w:rFonts w:ascii="仿宋" w:hAnsi="仿宋" w:eastAsia="仿宋"/>
          <w:b/>
          <w:sz w:val="28"/>
          <w:szCs w:val="28"/>
        </w:rPr>
      </w:pPr>
    </w:p>
    <w:p>
      <w:pPr>
        <w:jc w:val="both"/>
        <w:rPr>
          <w:rFonts w:ascii="仿宋" w:hAnsi="仿宋" w:eastAsia="仿宋"/>
          <w:b/>
          <w:sz w:val="28"/>
          <w:szCs w:val="28"/>
        </w:rPr>
      </w:pPr>
    </w:p>
    <w:p>
      <w:pPr>
        <w:jc w:val="center"/>
        <w:rPr>
          <w:rFonts w:hint="eastAsia" w:ascii="仿宋" w:hAnsi="仿宋" w:eastAsia="仿宋"/>
          <w:b/>
          <w:sz w:val="28"/>
          <w:szCs w:val="28"/>
        </w:rPr>
      </w:pPr>
      <w:r>
        <w:rPr>
          <w:rFonts w:hint="eastAsia" w:ascii="仿宋" w:hAnsi="仿宋" w:eastAsia="仿宋"/>
          <w:b/>
          <w:sz w:val="28"/>
          <w:szCs w:val="28"/>
        </w:rPr>
        <w:drawing>
          <wp:inline distT="0" distB="0" distL="0" distR="0">
            <wp:extent cx="4017645" cy="2239645"/>
            <wp:effectExtent l="0" t="0" r="1905" b="8255"/>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4017645" cy="2239645"/>
                    </a:xfrm>
                    <a:prstGeom prst="rect">
                      <a:avLst/>
                    </a:prstGeom>
                    <a:effectLst>
                      <a:softEdge rad="25400"/>
                    </a:effectLst>
                  </pic:spPr>
                </pic:pic>
              </a:graphicData>
            </a:graphic>
          </wp:inline>
        </w:drawing>
      </w:r>
    </w:p>
    <w:p>
      <w:pPr>
        <w:bidi w:val="0"/>
      </w:pPr>
    </w:p>
    <w:p>
      <w:pPr>
        <w:widowControl/>
        <w:spacing w:before="79" w:beforeLines="25" w:after="79" w:afterLines="25"/>
        <w:jc w:val="center"/>
        <w:rPr>
          <w:rFonts w:ascii="黑体" w:hAnsi="黑体" w:eastAsia="黑体"/>
          <w:color w:val="000000" w:themeColor="text1"/>
          <w:sz w:val="44"/>
          <w:szCs w:val="44"/>
          <w14:textFill>
            <w14:solidFill>
              <w14:schemeClr w14:val="tx1"/>
            </w14:solidFill>
          </w14:textFill>
        </w:rPr>
      </w:pPr>
      <w:r>
        <w:rPr>
          <w:sz w:val="24"/>
        </w:rPr>
        <mc:AlternateContent>
          <mc:Choice Requires="wpg">
            <w:drawing>
              <wp:anchor distT="0" distB="0" distL="114300" distR="114300" simplePos="0" relativeHeight="251660288" behindDoc="0" locked="0" layoutInCell="1" allowOverlap="1">
                <wp:simplePos x="0" y="0"/>
                <wp:positionH relativeFrom="column">
                  <wp:posOffset>-69850</wp:posOffset>
                </wp:positionH>
                <wp:positionV relativeFrom="paragraph">
                  <wp:posOffset>29845</wp:posOffset>
                </wp:positionV>
                <wp:extent cx="5394960" cy="401955"/>
                <wp:effectExtent l="0" t="0" r="15240" b="17145"/>
                <wp:wrapNone/>
                <wp:docPr id="28" name="组合 28"/>
                <wp:cNvGraphicFramePr/>
                <a:graphic xmlns:a="http://schemas.openxmlformats.org/drawingml/2006/main">
                  <a:graphicData uri="http://schemas.microsoft.com/office/word/2010/wordprocessingGroup">
                    <wpg:wgp>
                      <wpg:cNvGrpSpPr/>
                      <wpg:grpSpPr>
                        <a:xfrm flipV="true">
                          <a:off x="0" y="0"/>
                          <a:ext cx="5394960" cy="401955"/>
                          <a:chOff x="1943" y="34782"/>
                          <a:chExt cx="8496" cy="633"/>
                        </a:xfrm>
                      </wpg:grpSpPr>
                      <pic:pic xmlns:pic="http://schemas.openxmlformats.org/drawingml/2006/picture">
                        <pic:nvPicPr>
                          <pic:cNvPr id="30" name="图片 1" descr="C:/Users/ADMINI~1/AppData/Local/Temp/kaimatting_20191129154313/output_20191129154323..pngoutput_20191129154323."/>
                          <pic:cNvPicPr>
                            <a:picLocks noChangeAspect="true"/>
                          </pic:cNvPicPr>
                        </pic:nvPicPr>
                        <pic:blipFill>
                          <a:blip r:embed="rId15"/>
                          <a:srcRect/>
                          <a:stretch>
                            <a:fillRect/>
                          </a:stretch>
                        </pic:blipFill>
                        <pic:spPr>
                          <a:xfrm rot="10800000">
                            <a:off x="5618" y="34782"/>
                            <a:ext cx="1103" cy="633"/>
                          </a:xfrm>
                          <a:prstGeom prst="rect">
                            <a:avLst/>
                          </a:prstGeom>
                          <a:noFill/>
                          <a:ln>
                            <a:noFill/>
                          </a:ln>
                        </pic:spPr>
                      </pic:pic>
                      <wpg:grpSp>
                        <wpg:cNvPr id="31" name="组合 57"/>
                        <wpg:cNvGrpSpPr/>
                        <wpg:grpSpPr>
                          <a:xfrm rot="10800000">
                            <a:off x="6853" y="35077"/>
                            <a:ext cx="3586" cy="105"/>
                            <a:chOff x="1943" y="46456"/>
                            <a:chExt cx="3586" cy="105"/>
                          </a:xfrm>
                          <a:noFill/>
                        </wpg:grpSpPr>
                        <wps:wsp>
                          <wps:cNvPr id="32" name="矩形 55"/>
                          <wps:cNvSpPr/>
                          <wps:spPr>
                            <a:xfrm>
                              <a:off x="1943" y="46456"/>
                              <a:ext cx="3586" cy="57"/>
                            </a:xfrm>
                            <a:prstGeom prst="rect">
                              <a:avLst/>
                            </a:prstGeom>
                            <a:solidFill>
                              <a:srgbClr val="2917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35" name="矩形 56"/>
                          <wps:cNvSpPr/>
                          <wps:spPr>
                            <a:xfrm>
                              <a:off x="1943" y="46545"/>
                              <a:ext cx="3586" cy="17"/>
                            </a:xfrm>
                            <a:prstGeom prst="rect">
                              <a:avLst/>
                            </a:prstGeom>
                            <a:solidFill>
                              <a:srgbClr val="2917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g:grpSp>
                      <wpg:grpSp>
                        <wpg:cNvPr id="37" name="组合 58"/>
                        <wpg:cNvGrpSpPr/>
                        <wpg:grpSpPr>
                          <a:xfrm rot="10800000">
                            <a:off x="1943" y="35077"/>
                            <a:ext cx="3586" cy="105"/>
                            <a:chOff x="1943" y="46456"/>
                            <a:chExt cx="3586" cy="105"/>
                          </a:xfrm>
                          <a:noFill/>
                        </wpg:grpSpPr>
                        <wps:wsp>
                          <wps:cNvPr id="47" name="矩形 55"/>
                          <wps:cNvSpPr/>
                          <wps:spPr>
                            <a:xfrm>
                              <a:off x="1943" y="46456"/>
                              <a:ext cx="3586" cy="57"/>
                            </a:xfrm>
                            <a:prstGeom prst="rect">
                              <a:avLst/>
                            </a:prstGeom>
                            <a:solidFill>
                              <a:srgbClr val="2917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49" name="矩形 56"/>
                          <wps:cNvSpPr/>
                          <wps:spPr>
                            <a:xfrm>
                              <a:off x="1943" y="46545"/>
                              <a:ext cx="3586" cy="17"/>
                            </a:xfrm>
                            <a:prstGeom prst="rect">
                              <a:avLst/>
                            </a:prstGeom>
                            <a:solidFill>
                              <a:srgbClr val="2917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g:grpSp>
                    </wpg:wgp>
                  </a:graphicData>
                </a:graphic>
              </wp:anchor>
            </w:drawing>
          </mc:Choice>
          <mc:Fallback>
            <w:pict>
              <v:group id="_x0000_s1026" o:spid="_x0000_s1026" o:spt="203" style="position:absolute;left:0pt;flip:y;margin-left:-5.5pt;margin-top:2.35pt;height:31.65pt;width:424.8pt;z-index:251660288;mso-width-relative:page;mso-height-relative:page;" coordorigin="1943,34782" coordsize="8496,633" o:gfxdata="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">
                <o:lock v:ext="edit" aspectratio="f"/>
                <v:shape id="图片 1" o:spid="_x0000_s1026" o:spt="75" alt="C:/Users/ADMINI~1/AppData/Local/Temp/kaimatting_20191129154313/output_20191129154323..pngoutput_20191129154323." type="#_x0000_t75" style="position:absolute;left:5618;top:34782;height:633;width:1103;rotation:11796480f;" filled="f" o:preferrelative="t" stroked="f" coordsize="21600,21600" o:gfxdata="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tw8XKrcAAADbAAAADwAAAAAAAAABACAAAAA4AAAAZHJzL2Rvd25yZXYueG1sUEsB&#10;AhQAFAAAAAgAh07iQDMvBZ47AAAAOQAAABAAAAAAAAAAAQAgAAAAHAEAAGRycy9zaGFwZXhtbC54&#10;bWxQSwUGAAAAAAYABgBbAQAAxgMAAAAA&#10;">
                  <v:fill on="f" focussize="0,0"/>
                  <v:stroke on="f"/>
                  <v:imagedata r:id="rId15" o:title=""/>
                  <o:lock v:ext="edit" aspectratio="t"/>
                </v:shape>
                <v:group id="组合 57" o:spid="_x0000_s1026" o:spt="203" style="position:absolute;left:6853;top:35077;height:105;width:3586;rotation:11796480f;" coordorigin="1943,46456" coordsize="3586,105" o:gfxdata="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cSiLbwAAADbAAAADwAAAAAAAAABACAA&#10;AAA4AAAAZHJzL2Rvd25yZXYueG1sUEsBAhQAFAAAAAgAh07iQDMvBZ47AAAAOQAAABUAAAAAAAAA&#10;AQAgAAAAIQEAAGRycy9ncm91cHNoYXBleG1sLnhtbFBLBQYAAAAABgAGAGABAADeAwAAAAA=&#10;">
                  <o:lock v:ext="edit" aspectratio="f"/>
                  <v:rect id="矩形 55" o:spid="_x0000_s1026" o:spt="1" style="position:absolute;left:1943;top:46456;height:57;width:3586;v-text-anchor:middle;" fillcolor="#291770" filled="t" stroked="f" coordsize="21600,21600" o:gfxdata="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IZ9GvAAAANsAAAAPAAAAAAAAAAEAIAAAADgAAABkcnMvZG93bnJldi54&#10;bWxQSwECFAAUAAAACACHTuJAMy8FnjsAAAA5AAAAEAAAAAAAAAABACAAAAAhAQAAZHJzL3NoYXBl&#10;eG1sLnhtbFBLBQYAAAAABgAGAFsBAADLAwAAAAA=&#10;">
                    <v:fill on="t" focussize="0,0"/>
                    <v:stroke on="f" weight="2pt"/>
                    <v:imagedata o:title=""/>
                    <o:lock v:ext="edit" aspectratio="f"/>
                  </v:rect>
                  <v:rect id="矩形 56" o:spid="_x0000_s1026" o:spt="1" style="position:absolute;left:1943;top:46545;height:17;width:3586;v-text-anchor:middle;" fillcolor="#291770" filled="t" stroked="f" coordsize="21600,21600" o:gfxdata="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bIBzK+AAAA2wAAAA8AAAAAAAAAAQAgAAAAOAAAAGRycy9kb3ducmV2&#10;LnhtbFBLAQIUABQAAAAIAIdO4kAzLwWeOwAAADkAAAAQAAAAAAAAAAEAIAAAACMBAABkcnMvc2hh&#10;cGV4bWwueG1sUEsFBgAAAAAGAAYAWwEAAM0DAAAAAA==&#10;">
                    <v:fill on="t" focussize="0,0"/>
                    <v:stroke on="f" weight="2pt"/>
                    <v:imagedata o:title=""/>
                    <o:lock v:ext="edit" aspectratio="f"/>
                  </v:rect>
                </v:group>
                <v:group id="组合 58" o:spid="_x0000_s1026" o:spt="203" style="position:absolute;left:1943;top:35077;height:105;width:3586;rotation:11796480f;" coordorigin="1943,46456" coordsize="3586,105" o:gfxdata="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1hn8K9AAAA2wAAAA8AAAAAAAAAAQAg&#10;AAAAOAAAAGRycy9kb3ducmV2LnhtbFBLAQIUABQAAAAIAIdO4kAzLwWeOwAAADkAAAAVAAAAAAAA&#10;AAEAIAAAACIBAABkcnMvZ3JvdXBzaGFwZXhtbC54bWxQSwUGAAAAAAYABgBgAQAA3wMAAAAA&#10;">
                  <o:lock v:ext="edit" aspectratio="f"/>
                  <v:rect id="矩形 55" o:spid="_x0000_s1026" o:spt="1" style="position:absolute;left:1943;top:46456;height:57;width:3586;v-text-anchor:middle;" fillcolor="#291770" filled="t" stroked="f" coordsize="21600,21600" o:gfxdata="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VBPo70AAADbAAAADwAAAAAAAAABACAAAAA4AAAAZHJzL2Rvd25yZXYu&#10;eG1sUEsBAhQAFAAAAAgAh07iQDMvBZ47AAAAOQAAABAAAAAAAAAAAQAgAAAAIgEAAGRycy9zaGFw&#10;ZXhtbC54bWxQSwUGAAAAAAYABgBbAQAAzAMAAAAA&#10;">
                    <v:fill on="t" focussize="0,0"/>
                    <v:stroke on="f" weight="2pt"/>
                    <v:imagedata o:title=""/>
                    <o:lock v:ext="edit" aspectratio="f"/>
                  </v:rect>
                  <v:rect id="矩形 56" o:spid="_x0000_s1026" o:spt="1" style="position:absolute;left:1943;top:46545;height:17;width:3586;v-text-anchor:middle;" fillcolor="#291770" filled="t" stroked="f" coordsize="21600,21600" o:gfxdata="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4N+Sr0AAADbAAAADwAAAAAAAAABACAAAAA4AAAAZHJzL2Rvd25yZXYu&#10;eG1sUEsBAhQAFAAAAAgAh07iQDMvBZ47AAAAOQAAABAAAAAAAAAAAQAgAAAAIgEAAGRycy9zaGFw&#10;ZXhtbC54bWxQSwUGAAAAAAYABgBbAQAAzAMAAAAA&#10;">
                    <v:fill on="t" focussize="0,0"/>
                    <v:stroke on="f" weight="2pt"/>
                    <v:imagedata o:title=""/>
                    <o:lock v:ext="edit" aspectratio="f"/>
                  </v:rect>
                </v:group>
              </v:group>
            </w:pict>
          </mc:Fallback>
        </mc:AlternateContent>
      </w:r>
    </w:p>
    <w:p>
      <w:pPr>
        <w:widowControl/>
        <w:spacing w:before="79" w:beforeLines="25" w:after="79" w:afterLines="25"/>
        <w:jc w:val="center"/>
        <w:rPr>
          <w:rFonts w:ascii="黑体" w:hAnsi="黑体" w:eastAsia="黑体"/>
          <w:color w:val="000000" w:themeColor="text1"/>
          <w:sz w:val="44"/>
          <w:szCs w:val="44"/>
          <w14:textFill>
            <w14:solidFill>
              <w14:schemeClr w14:val="tx1"/>
            </w14:solidFill>
          </w14:textFill>
        </w:rPr>
      </w:pPr>
    </w:p>
    <w:p>
      <w:pPr>
        <w:widowControl/>
        <w:spacing w:before="79" w:beforeLines="25" w:after="79" w:afterLines="25"/>
        <w:jc w:val="center"/>
        <w:rPr>
          <w:rFonts w:ascii="黑体" w:hAnsi="黑体" w:eastAsia="黑体"/>
          <w:color w:val="384F92"/>
          <w:sz w:val="44"/>
          <w:szCs w:val="44"/>
        </w:rPr>
      </w:pPr>
      <w:r>
        <w:rPr>
          <w:rFonts w:hint="eastAsia" w:ascii="黑体" w:hAnsi="黑体" w:eastAsia="黑体"/>
          <w:color w:val="384F92"/>
          <w:sz w:val="44"/>
          <w:szCs w:val="44"/>
        </w:rPr>
        <w:t>前  言</w:t>
      </w:r>
    </w:p>
    <w:p>
      <w:pPr>
        <w:widowControl/>
        <w:spacing w:before="79" w:beforeLines="25" w:after="79" w:afterLines="25"/>
        <w:jc w:val="center"/>
        <w:rPr>
          <w:color w:val="000000" w:themeColor="text1"/>
          <w:sz w:val="36"/>
          <w14:textFill>
            <w14:solidFill>
              <w14:schemeClr w14:val="tx1"/>
            </w14:solidFill>
          </w14:textFill>
        </w:rPr>
      </w:pPr>
    </w:p>
    <w:p>
      <w:pPr>
        <w:widowControl/>
        <w:spacing w:before="79" w:beforeLines="25" w:after="79" w:afterLines="25" w:line="720" w:lineRule="auto"/>
        <w:ind w:firstLine="560" w:firstLineChars="200"/>
        <w:rPr>
          <w:rFonts w:hint="eastAsia"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auto"/>
          <w:sz w:val="28"/>
          <w:szCs w:val="28"/>
        </w:rPr>
        <w:t>2019年，按照国务院印发《国家职业教育改革实施方案》精神和</w:t>
      </w:r>
      <w:r>
        <w:rPr>
          <w:rFonts w:hint="eastAsia" w:asciiTheme="minorEastAsia" w:hAnsiTheme="minorEastAsia" w:eastAsiaTheme="minorEastAsia"/>
          <w:color w:val="000000" w:themeColor="text1"/>
          <w:sz w:val="28"/>
          <w:szCs w:val="28"/>
          <w14:textFill>
            <w14:solidFill>
              <w14:schemeClr w14:val="tx1"/>
            </w14:solidFill>
          </w14:textFill>
        </w:rPr>
        <w:t>《国务院关于加快发展现代职业教育的决定》（国发[2014]19号）、《教育部关于印发&lt;职业院校管理水平提升行动计划（2015-2018年）&gt;的通知》(教职成[2015]7号)以及教育部职成司《关于编制和发布2019年度中等职业教育质量报告的通知》（</w:t>
      </w:r>
      <w:r>
        <w:rPr>
          <w:rFonts w:hint="eastAsia" w:ascii="宋体" w:hAnsi="宋体"/>
          <w:color w:val="000000"/>
          <w:kern w:val="0"/>
          <w:sz w:val="28"/>
          <w:szCs w:val="28"/>
        </w:rPr>
        <w:t>教职成司函[2019]101号</w:t>
      </w:r>
      <w:r>
        <w:rPr>
          <w:rFonts w:hint="eastAsia" w:asciiTheme="minorEastAsia" w:hAnsiTheme="minorEastAsia" w:eastAsiaTheme="minorEastAsia"/>
          <w:color w:val="000000" w:themeColor="text1"/>
          <w:sz w:val="28"/>
          <w:szCs w:val="28"/>
          <w14:textFill>
            <w14:solidFill>
              <w14:schemeClr w14:val="tx1"/>
            </w14:solidFill>
          </w14:textFill>
        </w:rPr>
        <w:t>）等相关文件精神，阿坝州中等职业技术学校联合第三方机构北京中思远信息科学研究院开展年度质量报告相关工作，结合学校基本情况、学生发展、质量保障、校企合作、社会贡献、特色创新、问题及措施等方面内容，形成《阿坝州中等职业技术学校2019年度质量报告》，现予以发布。</w:t>
      </w:r>
    </w:p>
    <w:p>
      <w:pPr>
        <w:widowControl/>
        <w:spacing w:before="79" w:beforeLines="25" w:after="79" w:afterLines="25" w:line="720" w:lineRule="auto"/>
        <w:ind w:firstLine="560" w:firstLineChars="200"/>
        <w:rPr>
          <w:rFonts w:hint="eastAsia" w:asciiTheme="minorEastAsia" w:hAnsiTheme="minorEastAsia" w:eastAsiaTheme="minorEastAsia"/>
          <w:color w:val="384F92"/>
          <w:sz w:val="28"/>
          <w:szCs w:val="28"/>
        </w:rPr>
      </w:pPr>
    </w:p>
    <w:p>
      <w:pPr>
        <w:tabs>
          <w:tab w:val="left" w:pos="3990"/>
        </w:tabs>
        <w:ind w:firstLine="600" w:firstLineChars="200"/>
        <w:rPr>
          <w:rFonts w:ascii="微软雅黑" w:hAnsi="微软雅黑" w:eastAsia="微软雅黑" w:cs="微软雅黑"/>
          <w:b/>
          <w:bCs/>
          <w:color w:val="FFFFFF" w:themeColor="background1"/>
          <w:sz w:val="30"/>
          <w:szCs w:val="30"/>
          <w14:textFill>
            <w14:solidFill>
              <w14:schemeClr w14:val="bg1"/>
            </w14:solidFill>
          </w14:textFill>
        </w:rPr>
      </w:pPr>
      <w:r>
        <w:rPr>
          <w:sz w:val="30"/>
        </w:rPr>
        <mc:AlternateContent>
          <mc:Choice Requires="wps">
            <w:drawing>
              <wp:anchor distT="0" distB="0" distL="114300" distR="114300" simplePos="0" relativeHeight="251678720" behindDoc="1" locked="0" layoutInCell="1" allowOverlap="1">
                <wp:simplePos x="0" y="0"/>
                <wp:positionH relativeFrom="column">
                  <wp:posOffset>-34925</wp:posOffset>
                </wp:positionH>
                <wp:positionV relativeFrom="paragraph">
                  <wp:posOffset>10160</wp:posOffset>
                </wp:positionV>
                <wp:extent cx="1551305" cy="392430"/>
                <wp:effectExtent l="0" t="0" r="10795" b="7620"/>
                <wp:wrapNone/>
                <wp:docPr id="51" name="矩形 51"/>
                <wp:cNvGraphicFramePr/>
                <a:graphic xmlns:a="http://schemas.openxmlformats.org/drawingml/2006/main">
                  <a:graphicData uri="http://schemas.microsoft.com/office/word/2010/wordprocessingShape">
                    <wps:wsp>
                      <wps:cNvSpPr/>
                      <wps:spPr>
                        <a:xfrm>
                          <a:off x="1106170" y="1554480"/>
                          <a:ext cx="1551305" cy="392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75pt;margin-top:0.8pt;height:30.9pt;width:122.15pt;z-index:-251637760;v-text-anchor:middle;mso-width-relative:page;mso-height-relative:page;" fillcolor="#4F81BD [3204]" filled="t" stroked="f" coordsize="21600,21600" o:gfxdata="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2jPyM1gAAAAcBAAAPAAAAAAAAAAEAIAAAADgAAABkcnMvZG93bnJldi54&#10;bWxQSwECFAAUAAAACACHTuJA3+hjCFgCAACDBAAADgAAAAAAAAABACAAAAA7AQAAZHJzL2Uyb0Rv&#10;Yy54bWxQSwUGAAAAAAYABgBZAQAABQYAAAAA&#10;">
                <v:fill on="t" focussize="0,0"/>
                <v:stroke on="f" weight="2pt"/>
                <v:imagedata o:title=""/>
                <o:lock v:ext="edit" aspectratio="f"/>
              </v:rect>
            </w:pict>
          </mc:Fallback>
        </mc:AlternateContent>
      </w:r>
      <w:r>
        <w:rPr>
          <w:rFonts w:hint="eastAsia" w:ascii="微软雅黑" w:hAnsi="微软雅黑" w:eastAsia="微软雅黑" w:cs="微软雅黑"/>
          <w:b/>
          <w:bCs/>
          <w:color w:val="FFFFFF" w:themeColor="background1"/>
          <w:sz w:val="30"/>
          <w:szCs w:val="30"/>
          <w14:textFill>
            <w14:solidFill>
              <w14:schemeClr w14:val="bg1"/>
            </w14:solidFill>
          </w14:textFill>
        </w:rPr>
        <w:t>特别声明</w:t>
      </w:r>
    </w:p>
    <w:p>
      <w:pPr>
        <w:widowControl/>
        <w:spacing w:before="100" w:beforeAutospacing="1" w:after="100" w:afterAutospacing="1" w:line="400" w:lineRule="exact"/>
        <w:jc w:val="left"/>
        <w:rPr>
          <w:rFonts w:ascii="宋体" w:hAnsi="宋体" w:cs="宋体"/>
          <w:bCs/>
          <w:kern w:val="0"/>
          <w:sz w:val="28"/>
          <w:szCs w:val="28"/>
        </w:rPr>
      </w:pPr>
      <w:r>
        <mc:AlternateContent>
          <mc:Choice Requires="wps">
            <w:drawing>
              <wp:anchor distT="0" distB="0" distL="114300" distR="114300" simplePos="0" relativeHeight="251675648" behindDoc="0" locked="0" layoutInCell="1" allowOverlap="1">
                <wp:simplePos x="0" y="0"/>
                <wp:positionH relativeFrom="column">
                  <wp:posOffset>5715</wp:posOffset>
                </wp:positionH>
                <wp:positionV relativeFrom="paragraph">
                  <wp:posOffset>305435</wp:posOffset>
                </wp:positionV>
                <wp:extent cx="5199380" cy="1381125"/>
                <wp:effectExtent l="13335" t="9525" r="6985" b="9525"/>
                <wp:wrapNone/>
                <wp:docPr id="20"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5199380" cy="1381125"/>
                        </a:xfrm>
                        <a:prstGeom prst="rect">
                          <a:avLst/>
                        </a:prstGeom>
                        <a:solidFill>
                          <a:srgbClr val="FFFFFF"/>
                        </a:solidFill>
                        <a:ln w="9525">
                          <a:solidFill>
                            <a:schemeClr val="bg1">
                              <a:lumMod val="100000"/>
                              <a:lumOff val="0"/>
                            </a:schemeClr>
                          </a:solidFill>
                          <a:miter lim="800000"/>
                        </a:ln>
                      </wps:spPr>
                      <wps:txbx>
                        <w:txbxContent>
                          <w:p>
                            <w:pPr>
                              <w:spacing w:line="520" w:lineRule="exact"/>
                              <w:ind w:firstLine="560" w:firstLineChars="200"/>
                              <w:rPr>
                                <w:sz w:val="28"/>
                              </w:rPr>
                            </w:pPr>
                            <w:r>
                              <w:rPr>
                                <w:rFonts w:hint="eastAsia"/>
                                <w:sz w:val="28"/>
                              </w:rPr>
                              <w:t>本报告数据由阿坝州中等职业技术学校、北京中思远信息科学研究院共同采集调研完成，任何第三方未经阿坝州中等职业技术学校、北京中思远信息科学研究院许可不得引用。</w:t>
                            </w:r>
                          </w:p>
                        </w:txbxContent>
                      </wps:txbx>
                      <wps:bodyPr rot="0" vert="horz" wrap="square" lIns="91440" tIns="45720" rIns="91440" bIns="45720" anchor="t" anchorCtr="false" upright="true">
                        <a:noAutofit/>
                      </wps:bodyPr>
                    </wps:wsp>
                  </a:graphicData>
                </a:graphic>
              </wp:anchor>
            </w:drawing>
          </mc:Choice>
          <mc:Fallback>
            <w:pict>
              <v:shape id="文本框 2" o:spid="_x0000_s1026" o:spt="202" type="#_x0000_t202" style="position:absolute;left:0pt;margin-left:0.45pt;margin-top:24.05pt;height:108.75pt;width:409.4pt;z-index:251675648;mso-width-relative:page;mso-height-relative:page;" fillcolor="#FFFFFF" filled="t" stroked="t" coordsize="21600,21600" o:gfxdata="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ofBLrWAAAA&#10;BwEAAA8AAAAAAAAAAQAgAAAAOAAAAGRycy9kb3ducmV2LnhtbFBLAQIUABQAAAAIAIdO4kCdrQNr&#10;QgIAAH4EAAAOAAAAAAAAAAEAIAAAADsBAABkcnMvZTJvRG9jLnhtbFBLBQYAAAAABgAGAFkBAADv&#10;BQAAAAA=&#10;">
                <v:fill on="t" focussize="0,0"/>
                <v:stroke color="#FFFFFF [3228]" miterlimit="8" joinstyle="miter"/>
                <v:imagedata o:title=""/>
                <o:lock v:ext="edit" aspectratio="f"/>
                <v:textbox>
                  <w:txbxContent>
                    <w:p>
                      <w:pPr>
                        <w:spacing w:line="520" w:lineRule="exact"/>
                        <w:ind w:firstLine="560" w:firstLineChars="200"/>
                        <w:rPr>
                          <w:sz w:val="28"/>
                        </w:rPr>
                      </w:pPr>
                      <w:r>
                        <w:rPr>
                          <w:rFonts w:hint="eastAsia"/>
                          <w:sz w:val="28"/>
                        </w:rPr>
                        <w:t>本报告数据由阿坝州中等职业技术学校、北京中思远信息科学研究院共同采集调研完成，任何第三方未经阿坝州中等职业技术学校、北京中思远信息科学研究院许可不得引用。</w:t>
                      </w:r>
                    </w:p>
                  </w:txbxContent>
                </v:textbox>
              </v:shape>
            </w:pict>
          </mc:Fallback>
        </mc:AlternateContent>
      </w:r>
    </w:p>
    <w:p>
      <w:pPr>
        <w:widowControl/>
        <w:spacing w:before="100" w:beforeAutospacing="1" w:after="100" w:afterAutospacing="1" w:line="400" w:lineRule="exact"/>
        <w:jc w:val="left"/>
        <w:rPr>
          <w:rFonts w:ascii="宋体" w:hAnsi="宋体" w:cs="宋体"/>
          <w:bCs/>
          <w:kern w:val="0"/>
          <w:sz w:val="28"/>
          <w:szCs w:val="28"/>
        </w:rPr>
      </w:pPr>
    </w:p>
    <w:p>
      <w:pPr>
        <w:widowControl/>
        <w:spacing w:before="100" w:beforeAutospacing="1" w:after="100" w:afterAutospacing="1" w:line="400" w:lineRule="exact"/>
        <w:jc w:val="left"/>
        <w:rPr>
          <w:rFonts w:ascii="宋体" w:hAnsi="宋体" w:cs="宋体"/>
          <w:bCs/>
          <w:kern w:val="0"/>
          <w:sz w:val="28"/>
          <w:szCs w:val="28"/>
        </w:rPr>
      </w:pPr>
    </w:p>
    <w:p>
      <w:pPr>
        <w:widowControl/>
        <w:spacing w:before="100" w:beforeAutospacing="1" w:after="100" w:afterAutospacing="1" w:line="400" w:lineRule="exact"/>
        <w:jc w:val="left"/>
        <w:rPr>
          <w:rFonts w:ascii="宋体" w:hAnsi="宋体" w:cs="宋体"/>
          <w:bCs/>
          <w:kern w:val="0"/>
          <w:sz w:val="28"/>
          <w:szCs w:val="28"/>
        </w:rPr>
      </w:pPr>
    </w:p>
    <w:p>
      <w:pPr>
        <w:tabs>
          <w:tab w:val="left" w:pos="3990"/>
        </w:tabs>
        <w:ind w:firstLine="600" w:firstLineChars="200"/>
        <w:rPr>
          <w:rFonts w:ascii="微软雅黑" w:hAnsi="微软雅黑" w:eastAsia="微软雅黑" w:cs="微软雅黑"/>
          <w:b/>
          <w:bCs/>
          <w:color w:val="FFFFFF" w:themeColor="background1"/>
          <w:kern w:val="0"/>
          <w:sz w:val="28"/>
          <w:szCs w:val="28"/>
          <w14:textFill>
            <w14:solidFill>
              <w14:schemeClr w14:val="bg1"/>
            </w14:solidFill>
          </w14:textFill>
        </w:rPr>
      </w:pPr>
      <w:r>
        <w:rPr>
          <w:sz w:val="30"/>
        </w:rPr>
        <mc:AlternateContent>
          <mc:Choice Requires="wps">
            <w:drawing>
              <wp:anchor distT="0" distB="0" distL="114300" distR="114300" simplePos="0" relativeHeight="251679744" behindDoc="1" locked="0" layoutInCell="1" allowOverlap="1">
                <wp:simplePos x="0" y="0"/>
                <wp:positionH relativeFrom="column">
                  <wp:posOffset>-34925</wp:posOffset>
                </wp:positionH>
                <wp:positionV relativeFrom="paragraph">
                  <wp:posOffset>13970</wp:posOffset>
                </wp:positionV>
                <wp:extent cx="1551305" cy="392430"/>
                <wp:effectExtent l="0" t="0" r="10795" b="7620"/>
                <wp:wrapNone/>
                <wp:docPr id="52" name="矩形 52"/>
                <wp:cNvGraphicFramePr/>
                <a:graphic xmlns:a="http://schemas.openxmlformats.org/drawingml/2006/main">
                  <a:graphicData uri="http://schemas.microsoft.com/office/word/2010/wordprocessingShape">
                    <wps:wsp>
                      <wps:cNvSpPr/>
                      <wps:spPr>
                        <a:xfrm>
                          <a:off x="0" y="0"/>
                          <a:ext cx="1551305" cy="392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75pt;margin-top:1.1pt;height:30.9pt;width:122.15pt;z-index:-251636736;v-text-anchor:middle;mso-width-relative:page;mso-height-relative:page;" fillcolor="#4F81BD [3204]" filled="t" stroked="f" coordsize="21600,21600" o:gfxdata="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DBA4ebWAAAABwEAAA8AAAAAAAAAAQAgAAAAOAAAAGRycy9kb3ducmV2LnhtbFBLAQIUABQA&#10;AAAIAIdO4kAy6YquTgIAAHcEAAAOAAAAAAAAAAEAIAAAADsBAABkcnMvZTJvRG9jLnhtbFBLBQYA&#10;AAAABgAGAFkBAAD7BQAAAAA=&#10;">
                <v:fill on="t" focussize="0,0"/>
                <v:stroke on="f" weight="2pt"/>
                <v:imagedata o:title=""/>
                <o:lock v:ext="edit" aspectratio="f"/>
              </v:rect>
            </w:pict>
          </mc:Fallback>
        </mc:AlternateContent>
      </w:r>
      <w:r>
        <w:rPr>
          <w:rFonts w:hint="eastAsia" w:ascii="微软雅黑" w:hAnsi="微软雅黑" w:eastAsia="微软雅黑" w:cs="微软雅黑"/>
          <w:b/>
          <w:bCs/>
          <w:color w:val="FFFFFF" w:themeColor="background1"/>
          <w:sz w:val="30"/>
          <w:szCs w:val="30"/>
          <w14:textFill>
            <w14:solidFill>
              <w14:schemeClr w14:val="bg1"/>
            </w14:solidFill>
          </w14:textFill>
        </w:rPr>
        <w:t>编委名单</w:t>
      </w:r>
    </w:p>
    <w:p>
      <w:pPr>
        <w:tabs>
          <w:tab w:val="left" w:pos="3990"/>
        </w:tabs>
        <w:spacing w:line="520" w:lineRule="exact"/>
        <w:rPr>
          <w:rFonts w:ascii="微软雅黑" w:hAnsi="微软雅黑" w:eastAsia="微软雅黑" w:cs="微软雅黑"/>
          <w:color w:val="17375E" w:themeColor="text2" w:themeShade="BF"/>
          <w:kern w:val="0"/>
          <w:sz w:val="28"/>
          <w:szCs w:val="28"/>
        </w:rPr>
      </w:pPr>
    </w:p>
    <w:p>
      <w:pPr>
        <w:tabs>
          <w:tab w:val="left" w:pos="3990"/>
        </w:tabs>
        <w:spacing w:line="520" w:lineRule="exact"/>
        <w:rPr>
          <w:rFonts w:ascii="微软雅黑" w:hAnsi="微软雅黑" w:eastAsia="微软雅黑" w:cs="微软雅黑"/>
          <w:color w:val="384F92"/>
          <w:kern w:val="0"/>
          <w:sz w:val="28"/>
          <w:szCs w:val="28"/>
        </w:rPr>
      </w:pPr>
      <w:r>
        <w:rPr>
          <w:rFonts w:hint="eastAsia" w:ascii="微软雅黑" w:hAnsi="微软雅黑" w:eastAsia="微软雅黑" w:cs="微软雅黑"/>
          <w:color w:val="384F92"/>
          <w:kern w:val="0"/>
          <w:sz w:val="28"/>
          <w:szCs w:val="28"/>
        </w:rPr>
        <w:t>阿坝州中等职业技术学校</w:t>
      </w:r>
    </w:p>
    <w:p>
      <w:pPr>
        <w:tabs>
          <w:tab w:val="left" w:pos="3990"/>
        </w:tabs>
        <w:spacing w:line="300" w:lineRule="exact"/>
        <w:ind w:firstLine="420" w:firstLineChars="200"/>
        <w:rPr>
          <w:rFonts w:ascii="微软雅黑" w:hAnsi="微软雅黑" w:eastAsia="微软雅黑" w:cs="微软雅黑"/>
          <w:kern w:val="0"/>
          <w:sz w:val="28"/>
          <w:szCs w:val="28"/>
        </w:rPr>
      </w:pPr>
      <w:r>
        <w:rPr>
          <w:color w:val="FF0000"/>
        </w:rPr>
        <mc:AlternateContent>
          <mc:Choice Requires="wps">
            <w:drawing>
              <wp:anchor distT="0" distB="0" distL="114300" distR="114300" simplePos="0" relativeHeight="251673600" behindDoc="0" locked="0" layoutInCell="1" allowOverlap="1">
                <wp:simplePos x="0" y="0"/>
                <wp:positionH relativeFrom="column">
                  <wp:posOffset>5715</wp:posOffset>
                </wp:positionH>
                <wp:positionV relativeFrom="paragraph">
                  <wp:posOffset>66040</wp:posOffset>
                </wp:positionV>
                <wp:extent cx="2005965" cy="0"/>
                <wp:effectExtent l="0" t="0" r="0" b="0"/>
                <wp:wrapNone/>
                <wp:docPr id="18" name="直接连接符 120"/>
                <wp:cNvGraphicFramePr/>
                <a:graphic xmlns:a="http://schemas.openxmlformats.org/drawingml/2006/main">
                  <a:graphicData uri="http://schemas.microsoft.com/office/word/2010/wordprocessingShape">
                    <wps:wsp>
                      <wps:cNvCnPr>
                        <a:cxnSpLocks noChangeShapeType="true"/>
                      </wps:cNvCnPr>
                      <wps:spPr bwMode="auto">
                        <a:xfrm>
                          <a:off x="0" y="0"/>
                          <a:ext cx="2005965" cy="0"/>
                        </a:xfrm>
                        <a:prstGeom prst="line">
                          <a:avLst/>
                        </a:prstGeom>
                        <a:noFill/>
                        <a:ln w="9525">
                          <a:solidFill>
                            <a:srgbClr val="291770"/>
                          </a:solidFill>
                          <a:round/>
                        </a:ln>
                      </wps:spPr>
                      <wps:bodyPr/>
                    </wps:wsp>
                  </a:graphicData>
                </a:graphic>
              </wp:anchor>
            </w:drawing>
          </mc:Choice>
          <mc:Fallback>
            <w:pict>
              <v:line id="直接连接符 120" o:spid="_x0000_s1026" o:spt="20" style="position:absolute;left:0pt;margin-left:0.45pt;margin-top:5.2pt;height:0pt;width:157.95pt;z-index:251673600;mso-width-relative:page;mso-height-relative:page;" filled="f" stroked="t" coordsize="21600,21600" o:gfxdata="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Jj6Y9dUAAAAG&#10;AQAADwAAAAAAAAABACAAAAA4AAAAZHJzL2Rvd25yZXYueG1sUEsBAhQAFAAAAAgAh07iQCbL8VHQ&#10;AQAAYgMAAA4AAAAAAAAAAQAgAAAAOgEAAGRycy9lMm9Eb2MueG1sUEsFBgAAAAAGAAYAWQEAAHwF&#10;AAAAAA==&#10;">
                <v:fill on="f" focussize="0,0"/>
                <v:stroke color="#291770" joinstyle="round"/>
                <v:imagedata o:title=""/>
                <o:lock v:ext="edit" aspectratio="f"/>
              </v:line>
            </w:pict>
          </mc:Fallback>
        </mc:AlternateContent>
      </w:r>
    </w:p>
    <w:p>
      <w:pPr>
        <w:tabs>
          <w:tab w:val="left" w:pos="3990"/>
        </w:tabs>
        <w:spacing w:line="520" w:lineRule="exact"/>
        <w:rPr>
          <w:rFonts w:ascii="宋体" w:hAnsi="宋体" w:cs="宋体"/>
          <w:bCs/>
          <w:sz w:val="28"/>
          <w:szCs w:val="28"/>
        </w:rPr>
      </w:pPr>
      <w:r>
        <w:rPr>
          <w:rFonts w:hint="eastAsia" w:ascii="宋体" w:hAnsi="宋体" w:cs="宋体"/>
          <w:b/>
          <w:bCs/>
          <w:sz w:val="28"/>
          <w:szCs w:val="28"/>
        </w:rPr>
        <w:t>项目总负责人：</w:t>
      </w:r>
      <w:r>
        <w:rPr>
          <w:rFonts w:hint="eastAsia" w:ascii="宋体" w:hAnsi="宋体" w:cs="宋体"/>
          <w:bCs/>
          <w:sz w:val="28"/>
          <w:szCs w:val="28"/>
        </w:rPr>
        <w:t>王树全</w:t>
      </w:r>
    </w:p>
    <w:p>
      <w:pPr>
        <w:tabs>
          <w:tab w:val="left" w:pos="3990"/>
        </w:tabs>
        <w:spacing w:line="520" w:lineRule="exact"/>
        <w:rPr>
          <w:rFonts w:ascii="宋体" w:hAnsi="宋体" w:cs="宋体"/>
          <w:bCs/>
          <w:sz w:val="28"/>
          <w:szCs w:val="28"/>
        </w:rPr>
      </w:pPr>
      <w:r>
        <w:rPr>
          <w:rFonts w:hint="eastAsia" w:ascii="宋体" w:hAnsi="宋体" w:cs="宋体"/>
          <w:b/>
          <w:bCs/>
          <w:sz w:val="28"/>
          <w:szCs w:val="28"/>
        </w:rPr>
        <w:t>项目具体负责人：</w:t>
      </w:r>
      <w:r>
        <w:rPr>
          <w:rFonts w:hint="eastAsia" w:ascii="宋体" w:hAnsi="宋体" w:cs="宋体"/>
          <w:bCs/>
          <w:sz w:val="28"/>
          <w:szCs w:val="28"/>
        </w:rPr>
        <w:t>夺  波</w:t>
      </w:r>
    </w:p>
    <w:p>
      <w:pPr>
        <w:tabs>
          <w:tab w:val="left" w:pos="3990"/>
        </w:tabs>
        <w:spacing w:line="520" w:lineRule="exact"/>
        <w:rPr>
          <w:rFonts w:ascii="宋体" w:hAnsi="宋体" w:cs="宋体"/>
          <w:bCs/>
          <w:sz w:val="28"/>
          <w:szCs w:val="28"/>
        </w:rPr>
      </w:pPr>
      <w:r>
        <w:rPr>
          <w:rFonts w:hint="eastAsia" w:ascii="宋体" w:hAnsi="宋体" w:cs="宋体"/>
          <w:b/>
          <w:bCs/>
          <w:sz w:val="28"/>
          <w:szCs w:val="28"/>
        </w:rPr>
        <w:t>数据采集：</w:t>
      </w:r>
      <w:r>
        <w:rPr>
          <w:rFonts w:hint="eastAsia" w:ascii="宋体" w:hAnsi="宋体" w:cs="宋体"/>
          <w:bCs/>
          <w:sz w:val="28"/>
          <w:szCs w:val="28"/>
        </w:rPr>
        <w:t>鄢泽兵</w:t>
      </w:r>
    </w:p>
    <w:p>
      <w:pPr>
        <w:tabs>
          <w:tab w:val="left" w:pos="3990"/>
        </w:tabs>
        <w:spacing w:line="520" w:lineRule="exact"/>
        <w:rPr>
          <w:rFonts w:ascii="宋体" w:hAnsi="宋体" w:cs="宋体"/>
          <w:bCs/>
          <w:sz w:val="28"/>
          <w:szCs w:val="28"/>
        </w:rPr>
      </w:pPr>
      <w:r>
        <w:rPr>
          <w:rFonts w:hint="eastAsia" w:ascii="宋体" w:hAnsi="宋体" w:cs="宋体"/>
          <w:b/>
          <w:bCs/>
          <w:sz w:val="28"/>
          <w:szCs w:val="28"/>
        </w:rPr>
        <w:t>审    稿：</w:t>
      </w:r>
      <w:r>
        <w:rPr>
          <w:rFonts w:hint="eastAsia" w:ascii="宋体" w:hAnsi="宋体" w:cs="宋体"/>
          <w:bCs/>
          <w:sz w:val="28"/>
          <w:szCs w:val="28"/>
        </w:rPr>
        <w:t>夺  波</w:t>
      </w:r>
    </w:p>
    <w:p>
      <w:pPr>
        <w:tabs>
          <w:tab w:val="left" w:pos="3990"/>
        </w:tabs>
        <w:spacing w:line="520" w:lineRule="exact"/>
        <w:rPr>
          <w:rFonts w:ascii="宋体" w:hAnsi="宋体" w:cs="宋体"/>
          <w:bCs/>
          <w:sz w:val="28"/>
          <w:szCs w:val="28"/>
        </w:rPr>
      </w:pPr>
    </w:p>
    <w:p>
      <w:pPr>
        <w:tabs>
          <w:tab w:val="left" w:pos="3990"/>
        </w:tabs>
        <w:spacing w:line="520" w:lineRule="exact"/>
        <w:rPr>
          <w:rFonts w:ascii="微软雅黑" w:hAnsi="微软雅黑" w:eastAsia="微软雅黑" w:cs="宋体"/>
          <w:bCs/>
          <w:color w:val="384F92"/>
          <w:sz w:val="28"/>
          <w:szCs w:val="28"/>
        </w:rPr>
      </w:pPr>
      <w:r>
        <w:rPr>
          <w:rFonts w:hint="eastAsia" w:ascii="微软雅黑" w:hAnsi="微软雅黑" w:eastAsia="微软雅黑" w:cs="宋体"/>
          <w:bCs/>
          <w:color w:val="384F92"/>
          <w:sz w:val="28"/>
          <w:szCs w:val="28"/>
        </w:rPr>
        <w:t>北京中思远信息科学研究院</w:t>
      </w:r>
    </w:p>
    <w:p>
      <w:pPr>
        <w:tabs>
          <w:tab w:val="left" w:pos="3990"/>
        </w:tabs>
        <w:spacing w:line="300" w:lineRule="exact"/>
        <w:ind w:firstLine="420" w:firstLineChars="200"/>
        <w:rPr>
          <w:rFonts w:ascii="宋体" w:hAnsi="宋体" w:cs="宋体"/>
          <w:bCs/>
          <w:sz w:val="28"/>
          <w:szCs w:val="28"/>
        </w:rPr>
      </w:pPr>
      <w:r>
        <w:rPr>
          <w:color w:val="00B0F0"/>
        </w:rPr>
        <mc:AlternateContent>
          <mc:Choice Requires="wps">
            <w:drawing>
              <wp:anchor distT="0" distB="0" distL="114300" distR="114300" simplePos="0" relativeHeight="251674624" behindDoc="0" locked="0" layoutInCell="1" allowOverlap="1">
                <wp:simplePos x="0" y="0"/>
                <wp:positionH relativeFrom="column">
                  <wp:posOffset>24765</wp:posOffset>
                </wp:positionH>
                <wp:positionV relativeFrom="paragraph">
                  <wp:posOffset>71755</wp:posOffset>
                </wp:positionV>
                <wp:extent cx="2225040" cy="0"/>
                <wp:effectExtent l="0" t="0" r="0" b="0"/>
                <wp:wrapNone/>
                <wp:docPr id="13" name="直接连接符 4"/>
                <wp:cNvGraphicFramePr/>
                <a:graphic xmlns:a="http://schemas.openxmlformats.org/drawingml/2006/main">
                  <a:graphicData uri="http://schemas.microsoft.com/office/word/2010/wordprocessingShape">
                    <wps:wsp>
                      <wps:cNvCnPr>
                        <a:cxnSpLocks noChangeShapeType="true"/>
                      </wps:cNvCnPr>
                      <wps:spPr bwMode="auto">
                        <a:xfrm>
                          <a:off x="0" y="0"/>
                          <a:ext cx="2225040" cy="0"/>
                        </a:xfrm>
                        <a:prstGeom prst="line">
                          <a:avLst/>
                        </a:prstGeom>
                        <a:noFill/>
                        <a:ln w="9525">
                          <a:solidFill>
                            <a:srgbClr val="291770"/>
                          </a:solidFill>
                          <a:round/>
                        </a:ln>
                      </wps:spPr>
                      <wps:bodyPr/>
                    </wps:wsp>
                  </a:graphicData>
                </a:graphic>
              </wp:anchor>
            </w:drawing>
          </mc:Choice>
          <mc:Fallback>
            <w:pict>
              <v:line id="直接连接符 4" o:spid="_x0000_s1026" o:spt="20" style="position:absolute;left:0pt;margin-left:1.95pt;margin-top:5.65pt;height:0pt;width:175.2pt;z-index:251674624;mso-width-relative:page;mso-height-relative:page;" filled="f" stroked="t" coordsize="21600,21600" o:gfxdata="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BuTTwI1QAAAAcB&#10;AAAPAAAAAAAAAAEAIAAAADgAAABkcnMvZG93bnJldi54bWxQSwECFAAUAAAACACHTuJAFm87Z88B&#10;AABgAwAADgAAAAAAAAABACAAAAA6AQAAZHJzL2Uyb0RvYy54bWxQSwUGAAAAAAYABgBZAQAAewUA&#10;AAAA&#10;">
                <v:fill on="f" focussize="0,0"/>
                <v:stroke color="#291770" joinstyle="round"/>
                <v:imagedata o:title=""/>
                <o:lock v:ext="edit" aspectratio="f"/>
              </v:line>
            </w:pict>
          </mc:Fallback>
        </mc:AlternateContent>
      </w:r>
    </w:p>
    <w:p>
      <w:pPr>
        <w:tabs>
          <w:tab w:val="left" w:pos="3990"/>
        </w:tabs>
        <w:spacing w:line="520" w:lineRule="exact"/>
        <w:rPr>
          <w:rFonts w:ascii="宋体" w:hAnsi="宋体" w:cs="宋体"/>
          <w:bCs/>
          <w:sz w:val="28"/>
          <w:szCs w:val="28"/>
        </w:rPr>
      </w:pPr>
      <w:r>
        <w:rPr>
          <w:rFonts w:hint="eastAsia" w:ascii="宋体" w:hAnsi="宋体" w:cs="宋体"/>
          <w:b/>
          <w:bCs/>
          <w:sz w:val="28"/>
          <w:szCs w:val="28"/>
        </w:rPr>
        <w:t>项目负责人：</w:t>
      </w:r>
      <w:r>
        <w:rPr>
          <w:rFonts w:hint="eastAsia" w:ascii="宋体" w:hAnsi="宋体" w:cs="宋体"/>
          <w:bCs/>
          <w:sz w:val="28"/>
          <w:szCs w:val="28"/>
        </w:rPr>
        <w:t>胡裕梅</w:t>
      </w:r>
    </w:p>
    <w:p>
      <w:pPr>
        <w:tabs>
          <w:tab w:val="left" w:pos="3990"/>
        </w:tabs>
        <w:spacing w:line="520" w:lineRule="exact"/>
        <w:rPr>
          <w:rFonts w:ascii="宋体" w:hAnsi="宋体" w:cs="宋体"/>
          <w:bCs/>
          <w:sz w:val="28"/>
          <w:szCs w:val="28"/>
        </w:rPr>
      </w:pPr>
      <w:r>
        <w:rPr>
          <w:rFonts w:hint="eastAsia" w:ascii="宋体" w:hAnsi="宋体" w:cs="宋体"/>
          <w:b/>
          <w:bCs/>
          <w:sz w:val="28"/>
          <w:szCs w:val="28"/>
        </w:rPr>
        <w:t>数据调研：</w:t>
      </w:r>
      <w:r>
        <w:rPr>
          <w:rFonts w:hint="eastAsia" w:ascii="宋体" w:hAnsi="宋体" w:cs="宋体"/>
          <w:sz w:val="28"/>
          <w:szCs w:val="28"/>
        </w:rPr>
        <w:t xml:space="preserve">唐  翔  </w:t>
      </w:r>
      <w:r>
        <w:rPr>
          <w:rFonts w:hint="eastAsia" w:ascii="宋体" w:hAnsi="宋体" w:cs="宋体"/>
          <w:bCs/>
          <w:sz w:val="28"/>
          <w:szCs w:val="28"/>
        </w:rPr>
        <w:t>胡裕梅</w:t>
      </w:r>
    </w:p>
    <w:p>
      <w:pPr>
        <w:tabs>
          <w:tab w:val="left" w:pos="3990"/>
        </w:tabs>
        <w:spacing w:line="520" w:lineRule="exact"/>
        <w:rPr>
          <w:rFonts w:ascii="宋体" w:hAnsi="宋体" w:cs="宋体"/>
          <w:bCs/>
          <w:sz w:val="28"/>
          <w:szCs w:val="28"/>
        </w:rPr>
      </w:pPr>
      <w:r>
        <w:rPr>
          <w:rFonts w:hint="eastAsia" w:ascii="宋体" w:hAnsi="宋体" w:cs="宋体"/>
          <w:b/>
          <w:bCs/>
          <w:sz w:val="28"/>
          <w:szCs w:val="28"/>
        </w:rPr>
        <w:t>撰写团队：</w:t>
      </w:r>
      <w:r>
        <w:rPr>
          <w:rFonts w:hint="eastAsia" w:ascii="宋体" w:hAnsi="宋体" w:cs="宋体"/>
          <w:bCs/>
          <w:sz w:val="28"/>
          <w:szCs w:val="28"/>
        </w:rPr>
        <w:t>胡裕梅</w:t>
      </w:r>
      <w:r>
        <w:rPr>
          <w:rFonts w:hint="eastAsia" w:ascii="宋体" w:hAnsi="宋体" w:cs="宋体"/>
          <w:bCs/>
          <w:sz w:val="28"/>
          <w:szCs w:val="28"/>
          <w:lang w:val="en-US" w:eastAsia="zh-CN"/>
        </w:rPr>
        <w:t xml:space="preserve">  </w:t>
      </w:r>
      <w:r>
        <w:rPr>
          <w:rFonts w:hint="eastAsia" w:ascii="宋体" w:hAnsi="宋体" w:cs="宋体"/>
          <w:bCs/>
          <w:sz w:val="28"/>
          <w:szCs w:val="28"/>
        </w:rPr>
        <w:t>王  涛  罗光琼</w:t>
      </w:r>
    </w:p>
    <w:p>
      <w:pPr>
        <w:tabs>
          <w:tab w:val="left" w:pos="3990"/>
        </w:tabs>
        <w:spacing w:line="520" w:lineRule="exact"/>
        <w:rPr>
          <w:rFonts w:ascii="宋体" w:hAnsi="宋体" w:cs="宋体"/>
          <w:bCs/>
          <w:sz w:val="28"/>
          <w:szCs w:val="28"/>
        </w:rPr>
      </w:pPr>
      <w:r>
        <w:rPr>
          <w:rFonts w:hint="eastAsia" w:ascii="宋体" w:hAnsi="宋体" w:cs="宋体"/>
          <w:b/>
          <w:bCs/>
          <w:sz w:val="28"/>
          <w:szCs w:val="28"/>
        </w:rPr>
        <w:t>审    稿：</w:t>
      </w:r>
      <w:r>
        <w:rPr>
          <w:rFonts w:hint="eastAsia" w:ascii="宋体" w:hAnsi="宋体" w:cs="宋体"/>
          <w:bCs/>
          <w:sz w:val="28"/>
          <w:szCs w:val="28"/>
        </w:rPr>
        <w:t>袁俊益  樊文光</w:t>
      </w:r>
    </w:p>
    <w:p>
      <w:pPr>
        <w:tabs>
          <w:tab w:val="left" w:pos="3990"/>
        </w:tabs>
        <w:spacing w:line="520" w:lineRule="exact"/>
        <w:rPr>
          <w:rFonts w:ascii="宋体" w:hAnsi="宋体" w:cs="宋体"/>
          <w:bCs/>
          <w:sz w:val="28"/>
          <w:szCs w:val="28"/>
        </w:rPr>
      </w:pPr>
      <w:r>
        <w:rPr>
          <w:rFonts w:hint="eastAsia" w:ascii="宋体" w:hAnsi="宋体" w:cs="宋体"/>
          <w:b/>
          <w:bCs/>
          <w:sz w:val="28"/>
          <w:szCs w:val="28"/>
        </w:rPr>
        <w:t>报告设计：</w:t>
      </w:r>
      <w:r>
        <w:rPr>
          <w:rFonts w:hint="eastAsia" w:ascii="宋体" w:hAnsi="宋体" w:cs="宋体"/>
          <w:bCs/>
          <w:sz w:val="28"/>
          <w:szCs w:val="28"/>
        </w:rPr>
        <w:t>王兴海</w:t>
      </w:r>
    </w:p>
    <w:p>
      <w:pPr>
        <w:widowControl/>
        <w:spacing w:before="79" w:beforeLines="25" w:after="79" w:afterLines="25"/>
        <w:rPr>
          <w:color w:val="FFFFFF" w:themeColor="background1"/>
          <w14:textFill>
            <w14:solidFill>
              <w14:schemeClr w14:val="bg1"/>
            </w14:solidFill>
          </w14:textFill>
        </w:rPr>
        <w:sectPr>
          <w:headerReference r:id="rId3" w:type="default"/>
          <w:headerReference r:id="rId4" w:type="even"/>
          <w:pgSz w:w="11906" w:h="16157"/>
          <w:pgMar w:top="1701" w:right="1797" w:bottom="1701" w:left="1797" w:header="851" w:footer="680" w:gutter="0"/>
          <w:pgNumType w:fmt="decimal" w:start="1"/>
          <w:cols w:space="0" w:num="1"/>
          <w:docGrid w:type="lines" w:linePitch="316" w:charSpace="0"/>
        </w:sectPr>
      </w:pPr>
      <w:r>
        <w:rPr>
          <w:color w:val="FFFFFF" w:themeColor="background1"/>
          <w:sz w:val="72"/>
          <w14:textFill>
            <w14:solidFill>
              <w14:schemeClr w14:val="bg1"/>
            </w14:solidFill>
          </w14:textFill>
        </w:rPr>
        <mc:AlternateContent>
          <mc:Choice Requires="wps">
            <w:drawing>
              <wp:anchor distT="0" distB="0" distL="114300" distR="114300" simplePos="0" relativeHeight="251659264" behindDoc="0" locked="0" layoutInCell="1" allowOverlap="1">
                <wp:simplePos x="0" y="0"/>
                <wp:positionH relativeFrom="column">
                  <wp:posOffset>2593340</wp:posOffset>
                </wp:positionH>
                <wp:positionV relativeFrom="paragraph">
                  <wp:posOffset>226695</wp:posOffset>
                </wp:positionV>
                <wp:extent cx="635" cy="387985"/>
                <wp:effectExtent l="0" t="0" r="37465" b="31115"/>
                <wp:wrapNone/>
                <wp:docPr id="26" name="直线 5"/>
                <wp:cNvGraphicFramePr/>
                <a:graphic xmlns:a="http://schemas.openxmlformats.org/drawingml/2006/main">
                  <a:graphicData uri="http://schemas.microsoft.com/office/word/2010/wordprocessingShape">
                    <wps:wsp>
                      <wps:cNvCnPr/>
                      <wps:spPr>
                        <a:xfrm>
                          <a:off x="0" y="0"/>
                          <a:ext cx="635" cy="387985"/>
                        </a:xfrm>
                        <a:prstGeom prst="line">
                          <a:avLst/>
                        </a:prstGeom>
                        <a:ln w="9525" cap="flat" cmpd="sng">
                          <a:solidFill>
                            <a:srgbClr val="FFFFFF"/>
                          </a:solidFill>
                          <a:prstDash val="solid"/>
                          <a:headEnd type="none" w="med" len="med"/>
                          <a:tailEnd type="none" w="med" len="med"/>
                        </a:ln>
                      </wps:spPr>
                      <wps:bodyPr/>
                    </wps:wsp>
                  </a:graphicData>
                </a:graphic>
              </wp:anchor>
            </w:drawing>
          </mc:Choice>
          <mc:Fallback>
            <w:pict>
              <v:line id="直线 5" o:spid="_x0000_s1026" o:spt="20" style="position:absolute;left:0pt;margin-left:204.2pt;margin-top:17.85pt;height:30.55pt;width:0.05pt;z-index:251659264;mso-width-relative:page;mso-height-relative:page;" filled="f" stroked="t" coordsize="21600,21600" o:gfxdata="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Z/xyHdcAAAAJAQAADwAA&#10;AAAAAAABACAAAAA4AAAAZHJzL2Rvd25yZXYueG1sUEsBAhQAFAAAAAgAh07iQN5HVw/IAQAAgwMA&#10;AA4AAAAAAAAAAQAgAAAAPAEAAGRycy9lMm9Eb2MueG1sUEsFBgAAAAAGAAYAWQEAAHYFAAAAAA==&#10;">
                <v:fill on="f" focussize="0,0"/>
                <v:stroke color="#FFFFFF" joinstyle="round"/>
                <v:imagedata o:title=""/>
                <o:lock v:ext="edit" aspectratio="f"/>
              </v:line>
            </w:pict>
          </mc:Fallback>
        </mc:AlternateContent>
      </w:r>
      <w:r>
        <w:rPr>
          <w:rFonts w:hint="eastAsia" w:ascii="微软雅黑" w:hAnsi="微软雅黑" w:eastAsia="微软雅黑" w:cs="微软雅黑"/>
          <w:b/>
          <w:bCs/>
          <w:color w:val="FFFFFF" w:themeColor="background1"/>
          <w:sz w:val="36"/>
          <w:szCs w:val="36"/>
          <w14:textFill>
            <w14:solidFill>
              <w14:schemeClr w14:val="bg1"/>
            </w14:solidFill>
          </w14:textFill>
        </w:rPr>
        <w:t>目录</w:t>
      </w:r>
      <w:bookmarkStart w:id="0" w:name="_Toc32209"/>
    </w:p>
    <w:p>
      <w:pPr>
        <w:pStyle w:val="8"/>
        <w:tabs>
          <w:tab w:val="right" w:leader="dot" w:pos="8302"/>
        </w:tabs>
        <w:jc w:val="center"/>
        <w:rPr>
          <w:rFonts w:hint="eastAsia" w:ascii="黑体" w:hAnsi="黑体" w:eastAsia="黑体" w:cs="黑体"/>
          <w:b/>
          <w:bCs/>
          <w:color w:val="384F92"/>
          <w:sz w:val="36"/>
          <w:szCs w:val="36"/>
          <w:lang w:eastAsia="zh-CN"/>
        </w:rPr>
      </w:pPr>
      <w:r>
        <w:rPr>
          <w:rFonts w:hint="eastAsia" w:ascii="黑体" w:hAnsi="黑体" w:eastAsia="黑体" w:cs="黑体"/>
          <w:b/>
          <w:bCs/>
          <w:color w:val="384F92"/>
          <w:sz w:val="36"/>
          <w:szCs w:val="36"/>
          <w:lang w:eastAsia="zh-CN"/>
        </w:rPr>
        <w:t>目</w:t>
      </w:r>
      <w:r>
        <w:rPr>
          <w:rFonts w:hint="eastAsia" w:ascii="黑体" w:hAnsi="黑体" w:eastAsia="黑体" w:cs="黑体"/>
          <w:b/>
          <w:bCs/>
          <w:color w:val="384F92"/>
          <w:sz w:val="36"/>
          <w:szCs w:val="36"/>
          <w:lang w:val="en-US" w:eastAsia="zh-CN"/>
        </w:rPr>
        <w:t xml:space="preserve">  </w:t>
      </w:r>
      <w:r>
        <w:rPr>
          <w:rFonts w:hint="eastAsia" w:ascii="黑体" w:hAnsi="黑体" w:eastAsia="黑体" w:cs="黑体"/>
          <w:b/>
          <w:bCs/>
          <w:color w:val="384F92"/>
          <w:sz w:val="36"/>
          <w:szCs w:val="36"/>
          <w:lang w:eastAsia="zh-CN"/>
        </w:rPr>
        <w:t>录</w:t>
      </w:r>
    </w:p>
    <w:p>
      <w:pPr>
        <w:rPr>
          <w:rFonts w:hint="eastAsia"/>
          <w:lang w:eastAsia="zh-CN"/>
        </w:rPr>
      </w:pPr>
    </w:p>
    <w:p>
      <w:pPr>
        <w:pStyle w:val="8"/>
        <w:tabs>
          <w:tab w:val="right" w:leader="dot" w:pos="8302"/>
        </w:tabs>
        <w:rPr>
          <w:rFonts w:asciiTheme="minorEastAsia" w:hAnsiTheme="minorEastAsia" w:eastAsiaTheme="minorEastAsia" w:cstheme="minorBidi"/>
          <w:b/>
          <w:color w:val="384F92"/>
          <w:kern w:val="2"/>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TOC \o "1-3" \u \h</w:instrText>
      </w:r>
      <w:r>
        <w:rPr>
          <w:rFonts w:hint="eastAsia" w:asciiTheme="minorEastAsia" w:hAnsiTheme="minorEastAsia" w:eastAsiaTheme="minorEastAsia" w:cstheme="minorEastAsia"/>
          <w:sz w:val="28"/>
          <w:szCs w:val="28"/>
        </w:rPr>
        <w:fldChar w:fldCharType="separate"/>
      </w:r>
      <w:r>
        <w:rPr>
          <w:color w:val="384F92"/>
        </w:rPr>
        <w:fldChar w:fldCharType="begin"/>
      </w:r>
      <w:r>
        <w:rPr>
          <w:color w:val="384F92"/>
        </w:rPr>
        <w:instrText xml:space="preserve"> HYPERLINK \l "_Toc531679145" </w:instrText>
      </w:r>
      <w:r>
        <w:rPr>
          <w:color w:val="384F92"/>
        </w:rPr>
        <w:fldChar w:fldCharType="separate"/>
      </w:r>
      <w:r>
        <w:rPr>
          <w:rStyle w:val="16"/>
          <w:rFonts w:asciiTheme="minorEastAsia" w:hAnsiTheme="minorEastAsia" w:eastAsiaTheme="minorEastAsia"/>
          <w:b/>
          <w:color w:val="384F92"/>
          <w:sz w:val="28"/>
          <w:szCs w:val="28"/>
        </w:rPr>
        <w:t>1.</w:t>
      </w:r>
      <w:r>
        <w:rPr>
          <w:rStyle w:val="16"/>
          <w:rFonts w:hint="eastAsia" w:asciiTheme="minorEastAsia" w:hAnsiTheme="minorEastAsia" w:eastAsiaTheme="minorEastAsia"/>
          <w:b/>
          <w:color w:val="384F92"/>
          <w:sz w:val="28"/>
          <w:szCs w:val="28"/>
        </w:rPr>
        <w:t>学校情况</w:t>
      </w:r>
      <w:r>
        <w:rPr>
          <w:rFonts w:asciiTheme="minorEastAsia" w:hAnsiTheme="minorEastAsia" w:eastAsiaTheme="minorEastAsia"/>
          <w:b/>
          <w:color w:val="384F92"/>
          <w:sz w:val="28"/>
          <w:szCs w:val="28"/>
        </w:rPr>
        <w:tab/>
      </w:r>
      <w:r>
        <w:rPr>
          <w:rFonts w:asciiTheme="minorEastAsia" w:hAnsiTheme="minorEastAsia" w:eastAsiaTheme="minorEastAsia"/>
          <w:b/>
          <w:color w:val="384F92"/>
          <w:sz w:val="28"/>
          <w:szCs w:val="28"/>
        </w:rPr>
        <w:fldChar w:fldCharType="begin"/>
      </w:r>
      <w:r>
        <w:rPr>
          <w:rFonts w:asciiTheme="minorEastAsia" w:hAnsiTheme="minorEastAsia" w:eastAsiaTheme="minorEastAsia"/>
          <w:b/>
          <w:color w:val="384F92"/>
          <w:sz w:val="28"/>
          <w:szCs w:val="28"/>
        </w:rPr>
        <w:instrText xml:space="preserve"> PAGEREF _Toc531679145 \h </w:instrText>
      </w:r>
      <w:r>
        <w:rPr>
          <w:rFonts w:asciiTheme="minorEastAsia" w:hAnsiTheme="minorEastAsia" w:eastAsiaTheme="minorEastAsia"/>
          <w:b/>
          <w:color w:val="384F92"/>
          <w:sz w:val="28"/>
          <w:szCs w:val="28"/>
        </w:rPr>
        <w:fldChar w:fldCharType="separate"/>
      </w:r>
      <w:r>
        <w:rPr>
          <w:rFonts w:asciiTheme="minorEastAsia" w:hAnsiTheme="minorEastAsia" w:eastAsiaTheme="minorEastAsia"/>
          <w:b/>
          <w:color w:val="384F92"/>
          <w:sz w:val="28"/>
          <w:szCs w:val="28"/>
        </w:rPr>
        <w:t>1</w:t>
      </w:r>
      <w:r>
        <w:rPr>
          <w:rFonts w:asciiTheme="minorEastAsia" w:hAnsiTheme="minorEastAsia" w:eastAsiaTheme="minorEastAsia"/>
          <w:b/>
          <w:color w:val="384F92"/>
          <w:sz w:val="28"/>
          <w:szCs w:val="28"/>
        </w:rPr>
        <w:fldChar w:fldCharType="end"/>
      </w:r>
      <w:r>
        <w:rPr>
          <w:rFonts w:asciiTheme="minorEastAsia" w:hAnsiTheme="minorEastAsia" w:eastAsiaTheme="minorEastAsia"/>
          <w:b/>
          <w:color w:val="384F92"/>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"_Toc531679146" </w:instrText>
      </w:r>
      <w:r>
        <w:fldChar w:fldCharType="separate"/>
      </w:r>
      <w:r>
        <w:rPr>
          <w:rStyle w:val="16"/>
          <w:rFonts w:asciiTheme="minorEastAsia" w:hAnsiTheme="minorEastAsia" w:eastAsiaTheme="minorEastAsia"/>
          <w:b w:val="0"/>
          <w:sz w:val="28"/>
          <w:szCs w:val="28"/>
        </w:rPr>
        <w:t>1.1</w:t>
      </w:r>
      <w:r>
        <w:rPr>
          <w:rStyle w:val="16"/>
          <w:rFonts w:hint="eastAsia" w:asciiTheme="minorEastAsia" w:hAnsiTheme="minorEastAsia" w:eastAsiaTheme="minorEastAsia"/>
          <w:b w:val="0"/>
          <w:sz w:val="28"/>
          <w:szCs w:val="28"/>
        </w:rPr>
        <w:t>学校概况：砥砺前行 积淀办学成果</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_Toc531679146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1</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"_Toc531679147" </w:instrText>
      </w:r>
      <w:r>
        <w:fldChar w:fldCharType="separate"/>
      </w:r>
      <w:r>
        <w:rPr>
          <w:rStyle w:val="16"/>
          <w:rFonts w:asciiTheme="minorEastAsia" w:hAnsiTheme="minorEastAsia" w:eastAsiaTheme="minorEastAsia"/>
          <w:b w:val="0"/>
          <w:sz w:val="28"/>
          <w:szCs w:val="28"/>
        </w:rPr>
        <w:t>1.2</w:t>
      </w:r>
      <w:r>
        <w:rPr>
          <w:rStyle w:val="16"/>
          <w:rFonts w:hint="eastAsia" w:asciiTheme="minorEastAsia" w:hAnsiTheme="minorEastAsia" w:eastAsiaTheme="minorEastAsia"/>
          <w:b w:val="0"/>
          <w:sz w:val="28"/>
          <w:szCs w:val="28"/>
        </w:rPr>
        <w:t>学生情况：强化招生工作 规模突破增长</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4</w:t>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"_Toc531679148" </w:instrText>
      </w:r>
      <w:r>
        <w:fldChar w:fldCharType="separate"/>
      </w:r>
      <w:r>
        <w:rPr>
          <w:rStyle w:val="16"/>
          <w:rFonts w:asciiTheme="minorEastAsia" w:hAnsiTheme="minorEastAsia" w:eastAsiaTheme="minorEastAsia"/>
          <w:b w:val="0"/>
          <w:sz w:val="28"/>
          <w:szCs w:val="28"/>
        </w:rPr>
        <w:t>1.3</w:t>
      </w:r>
      <w:r>
        <w:rPr>
          <w:rStyle w:val="16"/>
          <w:rFonts w:hint="eastAsia" w:asciiTheme="minorEastAsia" w:hAnsiTheme="minorEastAsia" w:eastAsiaTheme="minorEastAsia"/>
          <w:b w:val="0"/>
          <w:sz w:val="28"/>
          <w:szCs w:val="28"/>
        </w:rPr>
        <w:t>教师队伍：充实教师队伍 结构比例均衡</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5</w:t>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"_Toc531679149" </w:instrText>
      </w:r>
      <w:r>
        <w:fldChar w:fldCharType="separate"/>
      </w:r>
      <w:r>
        <w:rPr>
          <w:rStyle w:val="16"/>
          <w:rFonts w:asciiTheme="minorEastAsia" w:hAnsiTheme="minorEastAsia" w:eastAsiaTheme="minorEastAsia"/>
          <w:b w:val="0"/>
          <w:sz w:val="28"/>
          <w:szCs w:val="28"/>
        </w:rPr>
        <w:t>1.4</w:t>
      </w:r>
      <w:r>
        <w:rPr>
          <w:rStyle w:val="16"/>
          <w:rFonts w:hint="eastAsia" w:asciiTheme="minorEastAsia" w:hAnsiTheme="minorEastAsia" w:eastAsiaTheme="minorEastAsia"/>
          <w:b w:val="0"/>
          <w:sz w:val="28"/>
          <w:szCs w:val="28"/>
        </w:rPr>
        <w:t>设施设备：加大资产投入 办学条件明显改善</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7</w:t>
      </w:r>
      <w:r>
        <w:rPr>
          <w:rFonts w:asciiTheme="minorEastAsia" w:hAnsiTheme="minorEastAsia" w:eastAsiaTheme="minorEastAsia"/>
          <w:b w:val="0"/>
          <w:sz w:val="28"/>
          <w:szCs w:val="28"/>
        </w:rPr>
        <w:fldChar w:fldCharType="end"/>
      </w:r>
    </w:p>
    <w:p>
      <w:pPr>
        <w:pStyle w:val="8"/>
        <w:tabs>
          <w:tab w:val="right" w:leader="dot" w:pos="8302"/>
        </w:tabs>
        <w:rPr>
          <w:rFonts w:asciiTheme="minorEastAsia" w:hAnsiTheme="minorEastAsia" w:eastAsiaTheme="minorEastAsia" w:cstheme="minorBidi"/>
          <w:b/>
          <w:color w:val="384F92"/>
          <w:kern w:val="2"/>
          <w:sz w:val="28"/>
          <w:szCs w:val="28"/>
        </w:rPr>
      </w:pPr>
      <w:r>
        <w:rPr>
          <w:color w:val="384F92"/>
        </w:rPr>
        <w:fldChar w:fldCharType="begin"/>
      </w:r>
      <w:r>
        <w:rPr>
          <w:color w:val="384F92"/>
        </w:rPr>
        <w:instrText xml:space="preserve"> HYPERLINK \l "_Toc531679150" </w:instrText>
      </w:r>
      <w:r>
        <w:rPr>
          <w:color w:val="384F92"/>
        </w:rPr>
        <w:fldChar w:fldCharType="separate"/>
      </w:r>
      <w:r>
        <w:rPr>
          <w:rStyle w:val="16"/>
          <w:rFonts w:asciiTheme="minorEastAsia" w:hAnsiTheme="minorEastAsia" w:eastAsiaTheme="minorEastAsia"/>
          <w:b/>
          <w:color w:val="384F92"/>
          <w:sz w:val="28"/>
          <w:szCs w:val="28"/>
        </w:rPr>
        <w:t>2.</w:t>
      </w:r>
      <w:r>
        <w:rPr>
          <w:rStyle w:val="16"/>
          <w:rFonts w:hint="eastAsia" w:asciiTheme="minorEastAsia" w:hAnsiTheme="minorEastAsia" w:eastAsiaTheme="minorEastAsia"/>
          <w:b/>
          <w:color w:val="384F92"/>
          <w:sz w:val="28"/>
          <w:szCs w:val="28"/>
        </w:rPr>
        <w:t>学生发展</w:t>
      </w:r>
      <w:r>
        <w:rPr>
          <w:rFonts w:asciiTheme="minorEastAsia" w:hAnsiTheme="minorEastAsia" w:eastAsiaTheme="minorEastAsia"/>
          <w:b/>
          <w:color w:val="384F92"/>
          <w:sz w:val="28"/>
          <w:szCs w:val="28"/>
        </w:rPr>
        <w:tab/>
      </w:r>
      <w:r>
        <w:rPr>
          <w:rFonts w:asciiTheme="minorEastAsia" w:hAnsiTheme="minorEastAsia" w:eastAsiaTheme="minorEastAsia"/>
          <w:b/>
          <w:color w:val="384F92"/>
          <w:sz w:val="28"/>
          <w:szCs w:val="28"/>
        </w:rPr>
        <w:fldChar w:fldCharType="begin"/>
      </w:r>
      <w:r>
        <w:rPr>
          <w:rFonts w:asciiTheme="minorEastAsia" w:hAnsiTheme="minorEastAsia" w:eastAsiaTheme="minorEastAsia"/>
          <w:b/>
          <w:color w:val="384F92"/>
          <w:sz w:val="28"/>
          <w:szCs w:val="28"/>
        </w:rPr>
        <w:instrText xml:space="preserve"> PAGEREF _Toc531679150 \h </w:instrText>
      </w:r>
      <w:r>
        <w:rPr>
          <w:rFonts w:asciiTheme="minorEastAsia" w:hAnsiTheme="minorEastAsia" w:eastAsiaTheme="minorEastAsia"/>
          <w:b/>
          <w:color w:val="384F92"/>
          <w:sz w:val="28"/>
          <w:szCs w:val="28"/>
        </w:rPr>
        <w:fldChar w:fldCharType="separate"/>
      </w:r>
      <w:r>
        <w:rPr>
          <w:rFonts w:asciiTheme="minorEastAsia" w:hAnsiTheme="minorEastAsia" w:eastAsiaTheme="minorEastAsia"/>
          <w:b/>
          <w:color w:val="384F92"/>
          <w:sz w:val="28"/>
          <w:szCs w:val="28"/>
        </w:rPr>
        <w:t>13</w:t>
      </w:r>
      <w:r>
        <w:rPr>
          <w:rFonts w:asciiTheme="minorEastAsia" w:hAnsiTheme="minorEastAsia" w:eastAsiaTheme="minorEastAsia"/>
          <w:b/>
          <w:color w:val="384F92"/>
          <w:sz w:val="28"/>
          <w:szCs w:val="28"/>
        </w:rPr>
        <w:fldChar w:fldCharType="end"/>
      </w:r>
      <w:r>
        <w:rPr>
          <w:rFonts w:asciiTheme="minorEastAsia" w:hAnsiTheme="minorEastAsia" w:eastAsiaTheme="minorEastAsia"/>
          <w:b/>
          <w:color w:val="384F92"/>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"_Toc531679151" </w:instrText>
      </w:r>
      <w:r>
        <w:fldChar w:fldCharType="separate"/>
      </w:r>
      <w:r>
        <w:rPr>
          <w:rStyle w:val="16"/>
          <w:rFonts w:asciiTheme="minorEastAsia" w:hAnsiTheme="minorEastAsia" w:eastAsiaTheme="minorEastAsia"/>
          <w:b w:val="0"/>
          <w:sz w:val="28"/>
          <w:szCs w:val="28"/>
        </w:rPr>
        <w:t>2.1</w:t>
      </w:r>
      <w:r>
        <w:rPr>
          <w:rStyle w:val="16"/>
          <w:rFonts w:hint="eastAsia" w:asciiTheme="minorEastAsia" w:hAnsiTheme="minorEastAsia" w:eastAsiaTheme="minorEastAsia"/>
          <w:b w:val="0"/>
          <w:sz w:val="28"/>
          <w:szCs w:val="28"/>
        </w:rPr>
        <w:t>学生素质：深化立德树人 整体素质提升</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_Toc531679151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13</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"_Toc531679152" </w:instrText>
      </w:r>
      <w:r>
        <w:fldChar w:fldCharType="separate"/>
      </w:r>
      <w:r>
        <w:rPr>
          <w:rStyle w:val="16"/>
          <w:rFonts w:asciiTheme="minorEastAsia" w:hAnsiTheme="minorEastAsia" w:eastAsiaTheme="minorEastAsia"/>
          <w:b w:val="0"/>
          <w:sz w:val="28"/>
          <w:szCs w:val="28"/>
        </w:rPr>
        <w:t>2.2</w:t>
      </w:r>
      <w:r>
        <w:rPr>
          <w:rStyle w:val="16"/>
          <w:rFonts w:hint="eastAsia" w:asciiTheme="minorEastAsia" w:hAnsiTheme="minorEastAsia" w:eastAsiaTheme="minorEastAsia"/>
          <w:b w:val="0"/>
          <w:sz w:val="28"/>
          <w:szCs w:val="28"/>
        </w:rPr>
        <w:t>在校体验：办学条件改善 满意度逐年提升</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_Toc531679152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16</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"_Toc531679153" </w:instrText>
      </w:r>
      <w:r>
        <w:fldChar w:fldCharType="separate"/>
      </w:r>
      <w:r>
        <w:rPr>
          <w:rStyle w:val="16"/>
          <w:rFonts w:asciiTheme="minorEastAsia" w:hAnsiTheme="minorEastAsia" w:eastAsiaTheme="minorEastAsia"/>
          <w:b w:val="0"/>
          <w:sz w:val="28"/>
          <w:szCs w:val="28"/>
        </w:rPr>
        <w:t>2.3</w:t>
      </w:r>
      <w:r>
        <w:rPr>
          <w:rStyle w:val="16"/>
          <w:rFonts w:hint="eastAsia" w:asciiTheme="minorEastAsia" w:hAnsiTheme="minorEastAsia" w:eastAsiaTheme="minorEastAsia"/>
          <w:b w:val="0"/>
          <w:sz w:val="28"/>
          <w:szCs w:val="28"/>
        </w:rPr>
        <w:t>资助情况：严格落实政策 实现应助尽助</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_Toc531679153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17</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hint="eastAsia" w:asciiTheme="minorEastAsia" w:hAnsiTheme="minorEastAsia" w:eastAsiaTheme="minorEastAsia" w:cstheme="minorBidi"/>
          <w:b w:val="0"/>
          <w:bCs w:val="0"/>
          <w:kern w:val="2"/>
          <w:sz w:val="28"/>
          <w:szCs w:val="28"/>
          <w:lang w:eastAsia="zh-CN"/>
        </w:rPr>
      </w:pPr>
      <w:r>
        <w:fldChar w:fldCharType="begin"/>
      </w:r>
      <w:r>
        <w:instrText xml:space="preserve"> HYPERLINK \l "_Toc531679154" </w:instrText>
      </w:r>
      <w:r>
        <w:fldChar w:fldCharType="separate"/>
      </w:r>
      <w:r>
        <w:rPr>
          <w:rStyle w:val="16"/>
          <w:rFonts w:asciiTheme="minorEastAsia" w:hAnsiTheme="minorEastAsia" w:eastAsiaTheme="minorEastAsia"/>
          <w:b w:val="0"/>
          <w:sz w:val="28"/>
          <w:szCs w:val="28"/>
        </w:rPr>
        <w:t>2.4</w:t>
      </w:r>
      <w:r>
        <w:rPr>
          <w:rStyle w:val="16"/>
          <w:rFonts w:hint="eastAsia" w:asciiTheme="minorEastAsia" w:hAnsiTheme="minorEastAsia" w:eastAsiaTheme="minorEastAsia"/>
          <w:b w:val="0"/>
          <w:sz w:val="28"/>
          <w:szCs w:val="28"/>
        </w:rPr>
        <w:t>就业质量：深化校企合作 创新就业渠道</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1</w:t>
      </w:r>
      <w:r>
        <w:rPr>
          <w:rFonts w:hint="eastAsia"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lang w:val="en-US" w:eastAsia="zh-CN"/>
        </w:rPr>
        <w:t>8</w:t>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"_Toc531679155" </w:instrText>
      </w:r>
      <w:r>
        <w:fldChar w:fldCharType="separate"/>
      </w:r>
      <w:r>
        <w:rPr>
          <w:rStyle w:val="16"/>
          <w:rFonts w:asciiTheme="minorEastAsia" w:hAnsiTheme="minorEastAsia" w:eastAsiaTheme="minorEastAsia"/>
          <w:b w:val="0"/>
          <w:sz w:val="28"/>
          <w:szCs w:val="28"/>
        </w:rPr>
        <w:t>2.5</w:t>
      </w:r>
      <w:r>
        <w:rPr>
          <w:rStyle w:val="16"/>
          <w:rFonts w:hint="eastAsia" w:asciiTheme="minorEastAsia" w:hAnsiTheme="minorEastAsia" w:eastAsiaTheme="minorEastAsia"/>
          <w:b w:val="0"/>
          <w:sz w:val="28"/>
          <w:szCs w:val="28"/>
        </w:rPr>
        <w:t>职业发展：强化观念培养 提升创新创业能力</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_Toc531679155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20</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8"/>
        <w:tabs>
          <w:tab w:val="right" w:leader="dot" w:pos="8302"/>
        </w:tabs>
        <w:rPr>
          <w:rFonts w:asciiTheme="minorEastAsia" w:hAnsiTheme="minorEastAsia" w:eastAsiaTheme="minorEastAsia" w:cstheme="minorBidi"/>
          <w:b/>
          <w:color w:val="291770"/>
          <w:kern w:val="2"/>
          <w:sz w:val="28"/>
          <w:szCs w:val="28"/>
        </w:rPr>
      </w:pPr>
      <w:r>
        <w:rPr>
          <w:color w:val="384F92"/>
        </w:rPr>
        <w:fldChar w:fldCharType="begin"/>
      </w:r>
      <w:r>
        <w:rPr>
          <w:color w:val="384F92"/>
        </w:rPr>
        <w:instrText xml:space="preserve"> HYPERLINK \l "_Toc531679156" </w:instrText>
      </w:r>
      <w:r>
        <w:rPr>
          <w:color w:val="384F92"/>
        </w:rPr>
        <w:fldChar w:fldCharType="separate"/>
      </w:r>
      <w:r>
        <w:rPr>
          <w:rStyle w:val="16"/>
          <w:rFonts w:asciiTheme="minorEastAsia" w:hAnsiTheme="minorEastAsia" w:eastAsiaTheme="minorEastAsia"/>
          <w:b/>
          <w:color w:val="384F92"/>
          <w:sz w:val="28"/>
          <w:szCs w:val="28"/>
        </w:rPr>
        <w:t>3.</w:t>
      </w:r>
      <w:r>
        <w:rPr>
          <w:rStyle w:val="16"/>
          <w:rFonts w:hint="eastAsia" w:asciiTheme="minorEastAsia" w:hAnsiTheme="minorEastAsia" w:eastAsiaTheme="minorEastAsia"/>
          <w:b/>
          <w:color w:val="384F92"/>
          <w:sz w:val="28"/>
          <w:szCs w:val="28"/>
        </w:rPr>
        <w:t>质量保障措施</w:t>
      </w:r>
      <w:r>
        <w:rPr>
          <w:rFonts w:asciiTheme="minorEastAsia" w:hAnsiTheme="minorEastAsia" w:eastAsiaTheme="minorEastAsia"/>
          <w:b/>
          <w:color w:val="384F92"/>
          <w:sz w:val="28"/>
          <w:szCs w:val="28"/>
        </w:rPr>
        <w:tab/>
      </w:r>
      <w:r>
        <w:rPr>
          <w:rFonts w:asciiTheme="minorEastAsia" w:hAnsiTheme="minorEastAsia" w:eastAsiaTheme="minorEastAsia"/>
          <w:b/>
          <w:color w:val="384F92"/>
          <w:sz w:val="28"/>
          <w:szCs w:val="28"/>
        </w:rPr>
        <w:fldChar w:fldCharType="begin"/>
      </w:r>
      <w:r>
        <w:rPr>
          <w:rFonts w:asciiTheme="minorEastAsia" w:hAnsiTheme="minorEastAsia" w:eastAsiaTheme="minorEastAsia"/>
          <w:b/>
          <w:color w:val="384F92"/>
          <w:sz w:val="28"/>
          <w:szCs w:val="28"/>
        </w:rPr>
        <w:instrText xml:space="preserve"> PAGEREF _Toc531679156 \h </w:instrText>
      </w:r>
      <w:r>
        <w:rPr>
          <w:rFonts w:asciiTheme="minorEastAsia" w:hAnsiTheme="minorEastAsia" w:eastAsiaTheme="minorEastAsia"/>
          <w:b/>
          <w:color w:val="384F92"/>
          <w:sz w:val="28"/>
          <w:szCs w:val="28"/>
        </w:rPr>
        <w:fldChar w:fldCharType="separate"/>
      </w:r>
      <w:r>
        <w:rPr>
          <w:rFonts w:asciiTheme="minorEastAsia" w:hAnsiTheme="minorEastAsia" w:eastAsiaTheme="minorEastAsia"/>
          <w:b/>
          <w:color w:val="384F92"/>
          <w:sz w:val="28"/>
          <w:szCs w:val="28"/>
        </w:rPr>
        <w:t>21</w:t>
      </w:r>
      <w:r>
        <w:rPr>
          <w:rFonts w:asciiTheme="minorEastAsia" w:hAnsiTheme="minorEastAsia" w:eastAsiaTheme="minorEastAsia"/>
          <w:b/>
          <w:color w:val="384F92"/>
          <w:sz w:val="28"/>
          <w:szCs w:val="28"/>
        </w:rPr>
        <w:fldChar w:fldCharType="end"/>
      </w:r>
      <w:r>
        <w:rPr>
          <w:rFonts w:asciiTheme="minorEastAsia" w:hAnsiTheme="minorEastAsia" w:eastAsiaTheme="minorEastAsia"/>
          <w:b/>
          <w:color w:val="384F92"/>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"_Toc531679157" </w:instrText>
      </w:r>
      <w:r>
        <w:fldChar w:fldCharType="separate"/>
      </w:r>
      <w:r>
        <w:rPr>
          <w:rStyle w:val="16"/>
          <w:rFonts w:asciiTheme="minorEastAsia" w:hAnsiTheme="minorEastAsia" w:eastAsiaTheme="minorEastAsia"/>
          <w:b w:val="0"/>
          <w:sz w:val="28"/>
          <w:szCs w:val="28"/>
        </w:rPr>
        <w:t>3.1</w:t>
      </w:r>
      <w:r>
        <w:rPr>
          <w:rStyle w:val="16"/>
          <w:rFonts w:hint="eastAsia" w:asciiTheme="minorEastAsia" w:hAnsiTheme="minorEastAsia" w:eastAsiaTheme="minorEastAsia"/>
          <w:b w:val="0"/>
          <w:sz w:val="28"/>
          <w:szCs w:val="28"/>
        </w:rPr>
        <w:t>专业动态调整：加强内涵建设 支持区域发展</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_Toc531679157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21</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hint="eastAsia" w:asciiTheme="minorEastAsia" w:hAnsiTheme="minorEastAsia" w:eastAsiaTheme="minorEastAsia" w:cstheme="minorBidi"/>
          <w:b w:val="0"/>
          <w:bCs w:val="0"/>
          <w:kern w:val="2"/>
          <w:sz w:val="28"/>
          <w:szCs w:val="28"/>
          <w:lang w:val="en-US" w:eastAsia="zh-CN"/>
        </w:rPr>
      </w:pPr>
      <w:r>
        <w:fldChar w:fldCharType="begin"/>
      </w:r>
      <w:r>
        <w:instrText xml:space="preserve"> HYPERLINK \l "_Toc531679158" </w:instrText>
      </w:r>
      <w:r>
        <w:fldChar w:fldCharType="separate"/>
      </w:r>
      <w:r>
        <w:rPr>
          <w:rStyle w:val="16"/>
          <w:rFonts w:asciiTheme="minorEastAsia" w:hAnsiTheme="minorEastAsia" w:eastAsiaTheme="minorEastAsia"/>
          <w:b w:val="0"/>
          <w:sz w:val="28"/>
          <w:szCs w:val="28"/>
        </w:rPr>
        <w:t>3.2</w:t>
      </w:r>
      <w:r>
        <w:rPr>
          <w:rStyle w:val="16"/>
          <w:rFonts w:hint="eastAsia" w:asciiTheme="minorEastAsia" w:hAnsiTheme="minorEastAsia" w:eastAsiaTheme="minorEastAsia"/>
          <w:b w:val="0"/>
          <w:sz w:val="28"/>
          <w:szCs w:val="28"/>
        </w:rPr>
        <w:t>教育教学改革：坚持育人为本 落实三教改革</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_Toc531679158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2</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lang w:val="en-US" w:eastAsia="zh-CN"/>
        </w:rPr>
        <w:t>3</w:t>
      </w:r>
    </w:p>
    <w:p>
      <w:pPr>
        <w:pStyle w:val="9"/>
        <w:tabs>
          <w:tab w:val="right" w:leader="dot" w:pos="8302"/>
        </w:tabs>
        <w:rPr>
          <w:rFonts w:hint="eastAsia" w:asciiTheme="minorEastAsia" w:hAnsiTheme="minorEastAsia" w:eastAsiaTheme="minorEastAsia" w:cstheme="minorBidi"/>
          <w:b w:val="0"/>
          <w:bCs w:val="0"/>
          <w:kern w:val="2"/>
          <w:sz w:val="28"/>
          <w:szCs w:val="28"/>
          <w:lang w:val="en-US" w:eastAsia="zh-CN"/>
        </w:rPr>
      </w:pPr>
      <w:r>
        <w:fldChar w:fldCharType="begin"/>
      </w:r>
      <w:r>
        <w:instrText xml:space="preserve"> HYPERLINK \l "_Toc531679159" </w:instrText>
      </w:r>
      <w:r>
        <w:fldChar w:fldCharType="separate"/>
      </w:r>
      <w:r>
        <w:rPr>
          <w:rStyle w:val="16"/>
          <w:rFonts w:asciiTheme="minorEastAsia" w:hAnsiTheme="minorEastAsia" w:eastAsiaTheme="minorEastAsia"/>
          <w:b w:val="0"/>
          <w:sz w:val="28"/>
          <w:szCs w:val="28"/>
        </w:rPr>
        <w:t>3.3</w:t>
      </w:r>
      <w:r>
        <w:rPr>
          <w:rStyle w:val="16"/>
          <w:rFonts w:hint="eastAsia" w:asciiTheme="minorEastAsia" w:hAnsiTheme="minorEastAsia" w:eastAsiaTheme="minorEastAsia"/>
          <w:b w:val="0"/>
          <w:sz w:val="28"/>
          <w:szCs w:val="28"/>
        </w:rPr>
        <w:t>教师培养培训：注重教师培养 整体实力提升</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2</w:t>
      </w:r>
      <w:r>
        <w:rPr>
          <w:rFonts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lang w:val="en-US" w:eastAsia="zh-CN"/>
        </w:rPr>
        <w:t>5</w:t>
      </w:r>
    </w:p>
    <w:p>
      <w:pPr>
        <w:pStyle w:val="9"/>
        <w:tabs>
          <w:tab w:val="right" w:leader="dot" w:pos="8302"/>
        </w:tabs>
        <w:rPr>
          <w:rFonts w:hint="eastAsia" w:asciiTheme="minorEastAsia" w:hAnsiTheme="minorEastAsia" w:eastAsiaTheme="minorEastAsia" w:cstheme="minorBidi"/>
          <w:b w:val="0"/>
          <w:bCs w:val="0"/>
          <w:kern w:val="2"/>
          <w:sz w:val="28"/>
          <w:szCs w:val="28"/>
          <w:lang w:val="en-US" w:eastAsia="zh-CN"/>
        </w:rPr>
      </w:pPr>
      <w:r>
        <w:fldChar w:fldCharType="begin"/>
      </w:r>
      <w:r>
        <w:instrText xml:space="preserve"> HYPERLINK \l "_Toc531679160" </w:instrText>
      </w:r>
      <w:r>
        <w:fldChar w:fldCharType="separate"/>
      </w:r>
      <w:r>
        <w:rPr>
          <w:rStyle w:val="16"/>
          <w:rFonts w:asciiTheme="minorEastAsia" w:hAnsiTheme="minorEastAsia" w:eastAsiaTheme="minorEastAsia"/>
          <w:b w:val="0"/>
          <w:sz w:val="28"/>
          <w:szCs w:val="28"/>
        </w:rPr>
        <w:t xml:space="preserve">3.4 </w:t>
      </w:r>
      <w:r>
        <w:rPr>
          <w:rStyle w:val="16"/>
          <w:rFonts w:hint="eastAsia" w:asciiTheme="minorEastAsia" w:hAnsiTheme="minorEastAsia" w:eastAsiaTheme="minorEastAsia"/>
          <w:b w:val="0"/>
          <w:sz w:val="28"/>
          <w:szCs w:val="28"/>
        </w:rPr>
        <w:t>规范管理：规范制度标准 推动学校发展</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2</w:t>
      </w:r>
      <w:r>
        <w:rPr>
          <w:rFonts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lang w:val="en-US" w:eastAsia="zh-CN"/>
        </w:rPr>
        <w:t>7</w:t>
      </w:r>
    </w:p>
    <w:p>
      <w:pPr>
        <w:pStyle w:val="9"/>
        <w:tabs>
          <w:tab w:val="right" w:leader="dot" w:pos="8302"/>
        </w:tabs>
        <w:rPr>
          <w:rFonts w:hint="eastAsia" w:asciiTheme="minorEastAsia" w:hAnsiTheme="minorEastAsia" w:eastAsiaTheme="minorEastAsia" w:cstheme="minorBidi"/>
          <w:b w:val="0"/>
          <w:bCs w:val="0"/>
          <w:kern w:val="2"/>
          <w:sz w:val="28"/>
          <w:szCs w:val="28"/>
          <w:lang w:eastAsia="zh-CN"/>
        </w:rPr>
      </w:pPr>
      <w:r>
        <w:fldChar w:fldCharType="begin"/>
      </w:r>
      <w:r>
        <w:instrText xml:space="preserve"> HYPERLINK \l "_Toc531679161" </w:instrText>
      </w:r>
      <w:r>
        <w:fldChar w:fldCharType="separate"/>
      </w:r>
      <w:r>
        <w:rPr>
          <w:rStyle w:val="16"/>
          <w:rFonts w:asciiTheme="minorEastAsia" w:hAnsiTheme="minorEastAsia" w:eastAsiaTheme="minorEastAsia"/>
          <w:b w:val="0"/>
          <w:sz w:val="28"/>
          <w:szCs w:val="28"/>
        </w:rPr>
        <w:t>3.5</w:t>
      </w:r>
      <w:r>
        <w:rPr>
          <w:rStyle w:val="16"/>
          <w:rFonts w:hint="eastAsia" w:asciiTheme="minorEastAsia" w:hAnsiTheme="minorEastAsia" w:eastAsiaTheme="minorEastAsia"/>
          <w:b w:val="0"/>
          <w:sz w:val="28"/>
          <w:szCs w:val="28"/>
        </w:rPr>
        <w:t xml:space="preserve"> 德育工作情况：深化德育工作 </w:t>
      </w:r>
      <w:r>
        <w:rPr>
          <w:rStyle w:val="16"/>
          <w:rFonts w:hint="eastAsia" w:asciiTheme="minorEastAsia" w:hAnsiTheme="minorEastAsia" w:eastAsiaTheme="minorEastAsia"/>
          <w:b w:val="0"/>
          <w:sz w:val="28"/>
          <w:szCs w:val="28"/>
          <w:lang w:eastAsia="zh-CN"/>
        </w:rPr>
        <w:t>取得良好成效</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2</w:t>
      </w:r>
      <w:r>
        <w:rPr>
          <w:rFonts w:hint="eastAsia"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lang w:val="en-US" w:eastAsia="zh-CN"/>
        </w:rPr>
        <w:t>8</w:t>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"_Toc531679163" </w:instrText>
      </w:r>
      <w:r>
        <w:fldChar w:fldCharType="separate"/>
      </w:r>
      <w:r>
        <w:rPr>
          <w:rStyle w:val="16"/>
          <w:rFonts w:asciiTheme="minorEastAsia" w:hAnsiTheme="minorEastAsia" w:eastAsiaTheme="minorEastAsia"/>
          <w:b w:val="0"/>
          <w:sz w:val="28"/>
          <w:szCs w:val="28"/>
        </w:rPr>
        <w:t>3.</w:t>
      </w:r>
      <w:r>
        <w:rPr>
          <w:rStyle w:val="16"/>
          <w:rFonts w:hint="eastAsia" w:asciiTheme="minorEastAsia" w:hAnsiTheme="minorEastAsia" w:eastAsiaTheme="minorEastAsia"/>
          <w:b w:val="0"/>
          <w:sz w:val="28"/>
          <w:szCs w:val="28"/>
        </w:rPr>
        <w:t>6党建工作情况：坚持党建引领 提供组织思想保障</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_Toc531679163 \h </w:instrText>
      </w:r>
      <w:r>
        <w:rPr>
          <w:rFonts w:asciiTheme="minorEastAsia" w:hAnsiTheme="minorEastAsia" w:eastAsiaTheme="minorEastAsia"/>
          <w:b w:val="0"/>
          <w:sz w:val="28"/>
          <w:szCs w:val="28"/>
        </w:rPr>
        <w:fldChar w:fldCharType="separate"/>
      </w:r>
      <w:r>
        <w:rPr>
          <w:rFonts w:hint="eastAsia" w:asciiTheme="minorEastAsia" w:hAnsiTheme="minorEastAsia" w:eastAsiaTheme="minorEastAsia"/>
          <w:b w:val="0"/>
          <w:sz w:val="28"/>
          <w:szCs w:val="28"/>
          <w:lang w:val="en-US" w:eastAsia="zh-CN"/>
        </w:rPr>
        <w:t>31</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8"/>
        <w:tabs>
          <w:tab w:val="right" w:leader="dot" w:pos="8302"/>
        </w:tabs>
        <w:rPr>
          <w:rFonts w:hint="eastAsia" w:asciiTheme="minorEastAsia" w:hAnsiTheme="minorEastAsia" w:eastAsiaTheme="minorEastAsia" w:cstheme="minorBidi"/>
          <w:b/>
          <w:color w:val="291770"/>
          <w:kern w:val="2"/>
          <w:sz w:val="28"/>
          <w:szCs w:val="28"/>
          <w:lang w:val="en-US" w:eastAsia="zh-CN"/>
        </w:rPr>
      </w:pPr>
      <w:r>
        <w:rPr>
          <w:color w:val="384F92"/>
        </w:rPr>
        <w:fldChar w:fldCharType="begin"/>
      </w:r>
      <w:r>
        <w:rPr>
          <w:color w:val="384F92"/>
        </w:rPr>
        <w:instrText xml:space="preserve"> HYPERLINK \l "_Toc531679164" </w:instrText>
      </w:r>
      <w:r>
        <w:rPr>
          <w:color w:val="384F92"/>
        </w:rPr>
        <w:fldChar w:fldCharType="separate"/>
      </w:r>
      <w:r>
        <w:rPr>
          <w:rStyle w:val="16"/>
          <w:rFonts w:asciiTheme="minorEastAsia" w:hAnsiTheme="minorEastAsia" w:eastAsiaTheme="minorEastAsia"/>
          <w:b/>
          <w:color w:val="384F92"/>
          <w:sz w:val="28"/>
          <w:szCs w:val="28"/>
        </w:rPr>
        <w:t>4.</w:t>
      </w:r>
      <w:r>
        <w:rPr>
          <w:rStyle w:val="16"/>
          <w:rFonts w:hint="eastAsia" w:asciiTheme="minorEastAsia" w:hAnsiTheme="minorEastAsia" w:eastAsiaTheme="minorEastAsia"/>
          <w:b/>
          <w:color w:val="384F92"/>
          <w:sz w:val="28"/>
          <w:szCs w:val="28"/>
        </w:rPr>
        <w:t>校企合作</w:t>
      </w:r>
      <w:r>
        <w:rPr>
          <w:rFonts w:asciiTheme="minorEastAsia" w:hAnsiTheme="minorEastAsia" w:eastAsiaTheme="minorEastAsia"/>
          <w:b/>
          <w:color w:val="384F92"/>
          <w:sz w:val="28"/>
          <w:szCs w:val="28"/>
        </w:rPr>
        <w:tab/>
      </w:r>
      <w:r>
        <w:rPr>
          <w:rFonts w:hint="eastAsia" w:asciiTheme="minorEastAsia" w:hAnsiTheme="minorEastAsia" w:eastAsiaTheme="minorEastAsia"/>
          <w:b/>
          <w:color w:val="384F92"/>
          <w:sz w:val="28"/>
          <w:szCs w:val="28"/>
          <w:lang w:val="en-US" w:eastAsia="zh-CN"/>
        </w:rPr>
        <w:t>3</w:t>
      </w:r>
      <w:r>
        <w:rPr>
          <w:rFonts w:asciiTheme="minorEastAsia" w:hAnsiTheme="minorEastAsia" w:eastAsiaTheme="minorEastAsia"/>
          <w:b/>
          <w:color w:val="384F92"/>
          <w:sz w:val="28"/>
          <w:szCs w:val="28"/>
        </w:rPr>
        <w:fldChar w:fldCharType="end"/>
      </w:r>
      <w:r>
        <w:rPr>
          <w:rFonts w:hint="eastAsia" w:asciiTheme="minorEastAsia" w:hAnsiTheme="minorEastAsia" w:eastAsiaTheme="minorEastAsia"/>
          <w:b/>
          <w:color w:val="384F92"/>
          <w:sz w:val="28"/>
          <w:szCs w:val="28"/>
          <w:lang w:val="en-US" w:eastAsia="zh-CN"/>
        </w:rPr>
        <w:t>3</w:t>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"_Toc531679165" </w:instrText>
      </w:r>
      <w:r>
        <w:fldChar w:fldCharType="separate"/>
      </w:r>
      <w:r>
        <w:rPr>
          <w:rStyle w:val="16"/>
          <w:rFonts w:asciiTheme="minorEastAsia" w:hAnsiTheme="minorEastAsia" w:eastAsiaTheme="minorEastAsia"/>
          <w:b w:val="0"/>
          <w:sz w:val="28"/>
          <w:szCs w:val="28"/>
        </w:rPr>
        <w:t>4.1</w:t>
      </w:r>
      <w:r>
        <w:rPr>
          <w:rStyle w:val="16"/>
          <w:rFonts w:hint="eastAsia" w:asciiTheme="minorEastAsia" w:hAnsiTheme="minorEastAsia" w:eastAsiaTheme="minorEastAsia"/>
          <w:b w:val="0"/>
          <w:sz w:val="28"/>
          <w:szCs w:val="28"/>
        </w:rPr>
        <w:t>校企合作情况：深化校企合作 发展现代职教</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_Toc531679165 \h </w:instrText>
      </w:r>
      <w:r>
        <w:rPr>
          <w:rFonts w:asciiTheme="minorEastAsia" w:hAnsiTheme="minorEastAsia" w:eastAsiaTheme="minorEastAsia"/>
          <w:b w:val="0"/>
          <w:sz w:val="28"/>
          <w:szCs w:val="28"/>
        </w:rPr>
        <w:fldChar w:fldCharType="separate"/>
      </w:r>
      <w:r>
        <w:rPr>
          <w:rFonts w:hint="eastAsia" w:asciiTheme="minorEastAsia" w:hAnsiTheme="minorEastAsia" w:eastAsiaTheme="minorEastAsia"/>
          <w:b w:val="0"/>
          <w:sz w:val="28"/>
          <w:szCs w:val="28"/>
          <w:lang w:val="en-US" w:eastAsia="zh-CN"/>
        </w:rPr>
        <w:t>33</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"_Toc531679166" </w:instrText>
      </w:r>
      <w:r>
        <w:fldChar w:fldCharType="separate"/>
      </w:r>
      <w:r>
        <w:rPr>
          <w:rStyle w:val="16"/>
          <w:rFonts w:asciiTheme="minorEastAsia" w:hAnsiTheme="minorEastAsia" w:eastAsiaTheme="minorEastAsia"/>
          <w:b w:val="0"/>
          <w:sz w:val="28"/>
          <w:szCs w:val="28"/>
        </w:rPr>
        <w:t xml:space="preserve">4.2 </w:t>
      </w:r>
      <w:r>
        <w:rPr>
          <w:rStyle w:val="16"/>
          <w:rFonts w:hint="eastAsia" w:asciiTheme="minorEastAsia" w:hAnsiTheme="minorEastAsia" w:eastAsiaTheme="minorEastAsia"/>
          <w:b w:val="0"/>
          <w:sz w:val="28"/>
          <w:szCs w:val="28"/>
        </w:rPr>
        <w:t>学生实习情况：落实管理规定 实习有序开展</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_Toc531679166 \h </w:instrText>
      </w:r>
      <w:r>
        <w:rPr>
          <w:rFonts w:asciiTheme="minorEastAsia" w:hAnsiTheme="minorEastAsia" w:eastAsiaTheme="minorEastAsia"/>
          <w:b w:val="0"/>
          <w:sz w:val="28"/>
          <w:szCs w:val="28"/>
        </w:rPr>
        <w:fldChar w:fldCharType="separate"/>
      </w:r>
      <w:r>
        <w:rPr>
          <w:rFonts w:hint="eastAsia" w:asciiTheme="minorEastAsia" w:hAnsiTheme="minorEastAsia" w:eastAsiaTheme="minorEastAsia"/>
          <w:b w:val="0"/>
          <w:sz w:val="28"/>
          <w:szCs w:val="28"/>
          <w:lang w:val="en-US" w:eastAsia="zh-CN"/>
        </w:rPr>
        <w:t>37</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"_Toc531679167" </w:instrText>
      </w:r>
      <w:r>
        <w:fldChar w:fldCharType="separate"/>
      </w:r>
      <w:r>
        <w:rPr>
          <w:rStyle w:val="16"/>
          <w:rFonts w:asciiTheme="minorEastAsia" w:hAnsiTheme="minorEastAsia" w:eastAsiaTheme="minorEastAsia"/>
          <w:b w:val="0"/>
          <w:sz w:val="28"/>
          <w:szCs w:val="28"/>
        </w:rPr>
        <w:t>4.3</w:t>
      </w:r>
      <w:r>
        <w:rPr>
          <w:rStyle w:val="16"/>
          <w:rFonts w:hint="eastAsia" w:asciiTheme="minorEastAsia" w:hAnsiTheme="minorEastAsia" w:eastAsiaTheme="minorEastAsia"/>
          <w:b w:val="0"/>
          <w:sz w:val="28"/>
          <w:szCs w:val="28"/>
        </w:rPr>
        <w:t>集团化办学情况：发挥集团优势 实现资源共享</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_Toc531679167 \h </w:instrText>
      </w:r>
      <w:r>
        <w:rPr>
          <w:rFonts w:asciiTheme="minorEastAsia" w:hAnsiTheme="minorEastAsia" w:eastAsiaTheme="minorEastAsia"/>
          <w:b w:val="0"/>
          <w:sz w:val="28"/>
          <w:szCs w:val="28"/>
        </w:rPr>
        <w:fldChar w:fldCharType="separate"/>
      </w:r>
      <w:r>
        <w:rPr>
          <w:rFonts w:hint="eastAsia" w:asciiTheme="minorEastAsia" w:hAnsiTheme="minorEastAsia" w:eastAsiaTheme="minorEastAsia"/>
          <w:b w:val="0"/>
          <w:sz w:val="28"/>
          <w:szCs w:val="28"/>
          <w:lang w:val="en-US" w:eastAsia="zh-CN"/>
        </w:rPr>
        <w:t>38</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8"/>
        <w:tabs>
          <w:tab w:val="right" w:leader="dot" w:pos="8302"/>
        </w:tabs>
        <w:rPr>
          <w:rFonts w:asciiTheme="minorEastAsia" w:hAnsiTheme="minorEastAsia" w:eastAsiaTheme="minorEastAsia" w:cstheme="minorBidi"/>
          <w:b/>
          <w:color w:val="291770"/>
          <w:kern w:val="2"/>
          <w:sz w:val="28"/>
          <w:szCs w:val="28"/>
        </w:rPr>
      </w:pPr>
      <w:r>
        <w:rPr>
          <w:color w:val="384F92"/>
        </w:rPr>
        <w:fldChar w:fldCharType="begin"/>
      </w:r>
      <w:r>
        <w:rPr>
          <w:color w:val="384F92"/>
        </w:rPr>
        <w:instrText xml:space="preserve"> HYPERLINK \l "_Toc531679169" </w:instrText>
      </w:r>
      <w:r>
        <w:rPr>
          <w:color w:val="384F92"/>
        </w:rPr>
        <w:fldChar w:fldCharType="separate"/>
      </w:r>
      <w:r>
        <w:rPr>
          <w:rStyle w:val="16"/>
          <w:rFonts w:asciiTheme="minorEastAsia" w:hAnsiTheme="minorEastAsia" w:eastAsiaTheme="minorEastAsia"/>
          <w:b/>
          <w:color w:val="384F92"/>
          <w:sz w:val="28"/>
          <w:szCs w:val="28"/>
        </w:rPr>
        <w:t>5.</w:t>
      </w:r>
      <w:r>
        <w:rPr>
          <w:rStyle w:val="16"/>
          <w:rFonts w:hint="eastAsia" w:asciiTheme="minorEastAsia" w:hAnsiTheme="minorEastAsia" w:eastAsiaTheme="minorEastAsia"/>
          <w:b/>
          <w:color w:val="384F92"/>
          <w:sz w:val="28"/>
          <w:szCs w:val="28"/>
        </w:rPr>
        <w:t>社会贡献</w:t>
      </w:r>
      <w:r>
        <w:rPr>
          <w:rFonts w:asciiTheme="minorEastAsia" w:hAnsiTheme="minorEastAsia" w:eastAsiaTheme="minorEastAsia"/>
          <w:b/>
          <w:color w:val="384F92"/>
          <w:sz w:val="28"/>
          <w:szCs w:val="28"/>
        </w:rPr>
        <w:tab/>
      </w:r>
      <w:r>
        <w:rPr>
          <w:rFonts w:asciiTheme="minorEastAsia" w:hAnsiTheme="minorEastAsia" w:eastAsiaTheme="minorEastAsia"/>
          <w:b/>
          <w:color w:val="384F92"/>
          <w:sz w:val="28"/>
          <w:szCs w:val="28"/>
        </w:rPr>
        <w:fldChar w:fldCharType="begin"/>
      </w:r>
      <w:r>
        <w:rPr>
          <w:rFonts w:asciiTheme="minorEastAsia" w:hAnsiTheme="minorEastAsia" w:eastAsiaTheme="minorEastAsia"/>
          <w:b/>
          <w:color w:val="384F92"/>
          <w:sz w:val="28"/>
          <w:szCs w:val="28"/>
        </w:rPr>
        <w:instrText xml:space="preserve"> PAGEREF _Toc531679169 \h </w:instrText>
      </w:r>
      <w:r>
        <w:rPr>
          <w:rFonts w:asciiTheme="minorEastAsia" w:hAnsiTheme="minorEastAsia" w:eastAsiaTheme="minorEastAsia"/>
          <w:b/>
          <w:color w:val="384F92"/>
          <w:sz w:val="28"/>
          <w:szCs w:val="28"/>
        </w:rPr>
        <w:fldChar w:fldCharType="separate"/>
      </w:r>
      <w:r>
        <w:rPr>
          <w:rFonts w:hint="eastAsia" w:asciiTheme="minorEastAsia" w:hAnsiTheme="minorEastAsia" w:eastAsiaTheme="minorEastAsia"/>
          <w:b/>
          <w:color w:val="384F92"/>
          <w:sz w:val="28"/>
          <w:szCs w:val="28"/>
          <w:lang w:val="en-US" w:eastAsia="zh-CN"/>
        </w:rPr>
        <w:t>38</w:t>
      </w:r>
      <w:r>
        <w:rPr>
          <w:rFonts w:asciiTheme="minorEastAsia" w:hAnsiTheme="minorEastAsia" w:eastAsiaTheme="minorEastAsia"/>
          <w:b/>
          <w:color w:val="384F92"/>
          <w:sz w:val="28"/>
          <w:szCs w:val="28"/>
        </w:rPr>
        <w:fldChar w:fldCharType="end"/>
      </w:r>
      <w:r>
        <w:rPr>
          <w:rFonts w:asciiTheme="minorEastAsia" w:hAnsiTheme="minorEastAsia" w:eastAsiaTheme="minorEastAsia"/>
          <w:b/>
          <w:color w:val="384F92"/>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"_Toc531679170" </w:instrText>
      </w:r>
      <w:r>
        <w:fldChar w:fldCharType="separate"/>
      </w:r>
      <w:r>
        <w:rPr>
          <w:rStyle w:val="16"/>
          <w:rFonts w:asciiTheme="minorEastAsia" w:hAnsiTheme="minorEastAsia" w:eastAsiaTheme="minorEastAsia"/>
          <w:b w:val="0"/>
          <w:sz w:val="28"/>
          <w:szCs w:val="28"/>
        </w:rPr>
        <w:t>5.1</w:t>
      </w:r>
      <w:r>
        <w:rPr>
          <w:rStyle w:val="16"/>
          <w:rFonts w:hint="eastAsia" w:asciiTheme="minorEastAsia" w:hAnsiTheme="minorEastAsia" w:eastAsiaTheme="minorEastAsia"/>
          <w:b w:val="0"/>
          <w:sz w:val="28"/>
          <w:szCs w:val="28"/>
        </w:rPr>
        <w:t>人才培养：发挥基地效应 服务地方经济社会发展</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_Toc531679170 \h </w:instrText>
      </w:r>
      <w:r>
        <w:rPr>
          <w:rFonts w:asciiTheme="minorEastAsia" w:hAnsiTheme="minorEastAsia" w:eastAsiaTheme="minorEastAsia"/>
          <w:b w:val="0"/>
          <w:sz w:val="28"/>
          <w:szCs w:val="28"/>
        </w:rPr>
        <w:fldChar w:fldCharType="separate"/>
      </w:r>
      <w:r>
        <w:rPr>
          <w:rFonts w:hint="eastAsia" w:asciiTheme="minorEastAsia" w:hAnsiTheme="minorEastAsia" w:eastAsiaTheme="minorEastAsia"/>
          <w:b w:val="0"/>
          <w:sz w:val="28"/>
          <w:szCs w:val="28"/>
          <w:lang w:val="en-US" w:eastAsia="zh-CN"/>
        </w:rPr>
        <w:t>38</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"_Toc531679171" </w:instrText>
      </w:r>
      <w:r>
        <w:fldChar w:fldCharType="separate"/>
      </w:r>
      <w:r>
        <w:rPr>
          <w:rStyle w:val="16"/>
          <w:rFonts w:asciiTheme="minorEastAsia" w:hAnsiTheme="minorEastAsia" w:eastAsiaTheme="minorEastAsia"/>
          <w:b w:val="0"/>
          <w:sz w:val="28"/>
          <w:szCs w:val="28"/>
        </w:rPr>
        <w:t>5.2</w:t>
      </w:r>
      <w:r>
        <w:rPr>
          <w:rStyle w:val="16"/>
          <w:rFonts w:hint="eastAsia" w:asciiTheme="minorEastAsia" w:hAnsiTheme="minorEastAsia" w:eastAsiaTheme="minorEastAsia"/>
          <w:b w:val="0"/>
          <w:sz w:val="28"/>
          <w:szCs w:val="28"/>
        </w:rPr>
        <w:t>社会服务：以服务产业发展为宗旨 提升社会服务能力</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_Toc531679171 \h </w:instrText>
      </w:r>
      <w:r>
        <w:rPr>
          <w:rFonts w:asciiTheme="minorEastAsia" w:hAnsiTheme="minorEastAsia" w:eastAsiaTheme="minorEastAsia"/>
          <w:b w:val="0"/>
          <w:sz w:val="28"/>
          <w:szCs w:val="28"/>
        </w:rPr>
        <w:fldChar w:fldCharType="separate"/>
      </w:r>
      <w:r>
        <w:rPr>
          <w:rFonts w:hint="eastAsia" w:asciiTheme="minorEastAsia" w:hAnsiTheme="minorEastAsia" w:eastAsiaTheme="minorEastAsia"/>
          <w:b w:val="0"/>
          <w:sz w:val="28"/>
          <w:szCs w:val="28"/>
          <w:lang w:val="en-US" w:eastAsia="zh-CN"/>
        </w:rPr>
        <w:t>38</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"_Toc531679172" </w:instrText>
      </w:r>
      <w:r>
        <w:fldChar w:fldCharType="separate"/>
      </w:r>
      <w:r>
        <w:rPr>
          <w:rStyle w:val="16"/>
          <w:rFonts w:asciiTheme="minorEastAsia" w:hAnsiTheme="minorEastAsia" w:eastAsiaTheme="minorEastAsia"/>
          <w:b w:val="0"/>
          <w:sz w:val="28"/>
          <w:szCs w:val="28"/>
        </w:rPr>
        <w:t>5.3</w:t>
      </w:r>
      <w:r>
        <w:rPr>
          <w:rStyle w:val="16"/>
          <w:rFonts w:hint="eastAsia" w:asciiTheme="minorEastAsia" w:hAnsiTheme="minorEastAsia" w:eastAsiaTheme="minorEastAsia"/>
          <w:b w:val="0"/>
          <w:sz w:val="28"/>
          <w:szCs w:val="28"/>
        </w:rPr>
        <w:t>对口支援：深化扶贫工作 脱贫攻坚落在实处</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_Toc531679172 \h </w:instrText>
      </w:r>
      <w:r>
        <w:rPr>
          <w:rFonts w:asciiTheme="minorEastAsia" w:hAnsiTheme="minorEastAsia" w:eastAsiaTheme="minorEastAsia"/>
          <w:b w:val="0"/>
          <w:sz w:val="28"/>
          <w:szCs w:val="28"/>
        </w:rPr>
        <w:fldChar w:fldCharType="separate"/>
      </w:r>
      <w:r>
        <w:rPr>
          <w:rFonts w:hint="eastAsia" w:asciiTheme="minorEastAsia" w:hAnsiTheme="minorEastAsia" w:eastAsiaTheme="minorEastAsia"/>
          <w:b w:val="0"/>
          <w:sz w:val="28"/>
          <w:szCs w:val="28"/>
          <w:lang w:val="en-US" w:eastAsia="zh-CN"/>
        </w:rPr>
        <w:t>39</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8"/>
        <w:tabs>
          <w:tab w:val="right" w:leader="dot" w:pos="8302"/>
        </w:tabs>
        <w:rPr>
          <w:rFonts w:asciiTheme="minorEastAsia" w:hAnsiTheme="minorEastAsia" w:eastAsiaTheme="minorEastAsia" w:cstheme="minorBidi"/>
          <w:b/>
          <w:color w:val="291770"/>
          <w:kern w:val="2"/>
          <w:sz w:val="28"/>
          <w:szCs w:val="28"/>
        </w:rPr>
      </w:pPr>
      <w:r>
        <w:rPr>
          <w:color w:val="384F92"/>
        </w:rPr>
        <w:fldChar w:fldCharType="begin"/>
      </w:r>
      <w:r>
        <w:rPr>
          <w:color w:val="384F92"/>
        </w:rPr>
        <w:instrText xml:space="preserve"> HYPERLINK \l "_Toc531679173" </w:instrText>
      </w:r>
      <w:r>
        <w:rPr>
          <w:color w:val="384F92"/>
        </w:rPr>
        <w:fldChar w:fldCharType="separate"/>
      </w:r>
      <w:r>
        <w:rPr>
          <w:rStyle w:val="16"/>
          <w:rFonts w:asciiTheme="minorEastAsia" w:hAnsiTheme="minorEastAsia" w:eastAsiaTheme="minorEastAsia"/>
          <w:b/>
          <w:color w:val="384F92"/>
          <w:sz w:val="28"/>
          <w:szCs w:val="28"/>
        </w:rPr>
        <w:t>6.</w:t>
      </w:r>
      <w:r>
        <w:rPr>
          <w:rStyle w:val="16"/>
          <w:rFonts w:hint="eastAsia" w:asciiTheme="minorEastAsia" w:hAnsiTheme="minorEastAsia" w:eastAsiaTheme="minorEastAsia"/>
          <w:b/>
          <w:color w:val="384F92"/>
          <w:sz w:val="28"/>
          <w:szCs w:val="28"/>
        </w:rPr>
        <w:t>举办者履责</w:t>
      </w:r>
      <w:r>
        <w:rPr>
          <w:rFonts w:asciiTheme="minorEastAsia" w:hAnsiTheme="minorEastAsia" w:eastAsiaTheme="minorEastAsia"/>
          <w:b/>
          <w:color w:val="384F92"/>
          <w:sz w:val="28"/>
          <w:szCs w:val="28"/>
        </w:rPr>
        <w:tab/>
      </w:r>
      <w:r>
        <w:rPr>
          <w:rFonts w:asciiTheme="minorEastAsia" w:hAnsiTheme="minorEastAsia" w:eastAsiaTheme="minorEastAsia"/>
          <w:b/>
          <w:color w:val="384F92"/>
          <w:sz w:val="28"/>
          <w:szCs w:val="28"/>
        </w:rPr>
        <w:fldChar w:fldCharType="begin"/>
      </w:r>
      <w:r>
        <w:rPr>
          <w:rFonts w:asciiTheme="minorEastAsia" w:hAnsiTheme="minorEastAsia" w:eastAsiaTheme="minorEastAsia"/>
          <w:b/>
          <w:color w:val="384F92"/>
          <w:sz w:val="28"/>
          <w:szCs w:val="28"/>
        </w:rPr>
        <w:instrText xml:space="preserve"> PAGEREF _Toc531679173 \h </w:instrText>
      </w:r>
      <w:r>
        <w:rPr>
          <w:rFonts w:asciiTheme="minorEastAsia" w:hAnsiTheme="minorEastAsia" w:eastAsiaTheme="minorEastAsia"/>
          <w:b/>
          <w:color w:val="384F92"/>
          <w:sz w:val="28"/>
          <w:szCs w:val="28"/>
        </w:rPr>
        <w:fldChar w:fldCharType="separate"/>
      </w:r>
      <w:r>
        <w:rPr>
          <w:rFonts w:hint="eastAsia" w:asciiTheme="minorEastAsia" w:hAnsiTheme="minorEastAsia" w:eastAsiaTheme="minorEastAsia"/>
          <w:b/>
          <w:color w:val="384F92"/>
          <w:sz w:val="28"/>
          <w:szCs w:val="28"/>
          <w:lang w:val="en-US" w:eastAsia="zh-CN"/>
        </w:rPr>
        <w:t>41</w:t>
      </w:r>
      <w:r>
        <w:rPr>
          <w:rFonts w:asciiTheme="minorEastAsia" w:hAnsiTheme="minorEastAsia" w:eastAsiaTheme="minorEastAsia"/>
          <w:b/>
          <w:color w:val="384F92"/>
          <w:sz w:val="28"/>
          <w:szCs w:val="28"/>
        </w:rPr>
        <w:fldChar w:fldCharType="end"/>
      </w:r>
      <w:r>
        <w:rPr>
          <w:rFonts w:asciiTheme="minorEastAsia" w:hAnsiTheme="minorEastAsia" w:eastAsiaTheme="minorEastAsia"/>
          <w:b/>
          <w:color w:val="384F92"/>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"_Toc531679174" </w:instrText>
      </w:r>
      <w:r>
        <w:fldChar w:fldCharType="separate"/>
      </w:r>
      <w:r>
        <w:rPr>
          <w:rStyle w:val="16"/>
          <w:rFonts w:asciiTheme="minorEastAsia" w:hAnsiTheme="minorEastAsia" w:eastAsiaTheme="minorEastAsia"/>
          <w:b w:val="0"/>
          <w:sz w:val="28"/>
          <w:szCs w:val="28"/>
        </w:rPr>
        <w:t>6.1</w:t>
      </w:r>
      <w:r>
        <w:rPr>
          <w:rStyle w:val="16"/>
          <w:rFonts w:hint="eastAsia" w:asciiTheme="minorEastAsia" w:hAnsiTheme="minorEastAsia" w:eastAsiaTheme="minorEastAsia"/>
          <w:b w:val="0"/>
          <w:sz w:val="28"/>
          <w:szCs w:val="28"/>
        </w:rPr>
        <w:t>经费保障：财政经费充足 为办学提供可靠保障</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_Toc531679174 \h </w:instrText>
      </w:r>
      <w:r>
        <w:rPr>
          <w:rFonts w:asciiTheme="minorEastAsia" w:hAnsiTheme="minorEastAsia" w:eastAsiaTheme="minorEastAsia"/>
          <w:b w:val="0"/>
          <w:sz w:val="28"/>
          <w:szCs w:val="28"/>
        </w:rPr>
        <w:fldChar w:fldCharType="separate"/>
      </w:r>
      <w:r>
        <w:rPr>
          <w:rFonts w:hint="eastAsia" w:asciiTheme="minorEastAsia" w:hAnsiTheme="minorEastAsia" w:eastAsiaTheme="minorEastAsia"/>
          <w:b w:val="0"/>
          <w:sz w:val="28"/>
          <w:szCs w:val="28"/>
          <w:lang w:val="en-US" w:eastAsia="zh-CN"/>
        </w:rPr>
        <w:t>41</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9"/>
        <w:tabs>
          <w:tab w:val="right" w:leader="dot" w:pos="8302"/>
        </w:tabs>
        <w:rPr>
          <w:rFonts w:asciiTheme="minorEastAsia" w:hAnsiTheme="minorEastAsia" w:eastAsiaTheme="minorEastAsia" w:cstheme="minorBidi"/>
          <w:b w:val="0"/>
          <w:bCs w:val="0"/>
          <w:kern w:val="2"/>
          <w:sz w:val="28"/>
          <w:szCs w:val="28"/>
        </w:rPr>
      </w:pPr>
      <w:r>
        <w:fldChar w:fldCharType="begin"/>
      </w:r>
      <w:r>
        <w:instrText xml:space="preserve"> HYPERLINK \l "_Toc531679175" </w:instrText>
      </w:r>
      <w:r>
        <w:fldChar w:fldCharType="separate"/>
      </w:r>
      <w:r>
        <w:rPr>
          <w:rStyle w:val="16"/>
          <w:rFonts w:asciiTheme="minorEastAsia" w:hAnsiTheme="minorEastAsia" w:eastAsiaTheme="minorEastAsia"/>
          <w:b w:val="0"/>
          <w:sz w:val="28"/>
          <w:szCs w:val="28"/>
        </w:rPr>
        <w:t>6.2</w:t>
      </w:r>
      <w:r>
        <w:rPr>
          <w:rStyle w:val="16"/>
          <w:rFonts w:hint="eastAsia" w:asciiTheme="minorEastAsia" w:hAnsiTheme="minorEastAsia" w:eastAsiaTheme="minorEastAsia"/>
          <w:b w:val="0"/>
          <w:sz w:val="28"/>
          <w:szCs w:val="28"/>
        </w:rPr>
        <w:t>政策措施：落实区域政策 坚持依法办学</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_Toc531679175 \h </w:instrText>
      </w:r>
      <w:r>
        <w:rPr>
          <w:rFonts w:asciiTheme="minorEastAsia" w:hAnsiTheme="minorEastAsia" w:eastAsiaTheme="minorEastAsia"/>
          <w:b w:val="0"/>
          <w:sz w:val="28"/>
          <w:szCs w:val="28"/>
        </w:rPr>
        <w:fldChar w:fldCharType="separate"/>
      </w:r>
      <w:r>
        <w:rPr>
          <w:rFonts w:hint="eastAsia" w:asciiTheme="minorEastAsia" w:hAnsiTheme="minorEastAsia" w:eastAsiaTheme="minorEastAsia"/>
          <w:b w:val="0"/>
          <w:sz w:val="28"/>
          <w:szCs w:val="28"/>
          <w:lang w:val="en-US" w:eastAsia="zh-CN"/>
        </w:rPr>
        <w:t>41</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8"/>
        <w:tabs>
          <w:tab w:val="right" w:leader="dot" w:pos="8302"/>
        </w:tabs>
        <w:rPr>
          <w:rFonts w:asciiTheme="minorEastAsia" w:hAnsiTheme="minorEastAsia" w:eastAsiaTheme="minorEastAsia" w:cstheme="minorBidi"/>
          <w:b/>
          <w:color w:val="291770"/>
          <w:kern w:val="2"/>
          <w:sz w:val="28"/>
          <w:szCs w:val="28"/>
        </w:rPr>
      </w:pPr>
      <w:r>
        <w:rPr>
          <w:color w:val="384F92"/>
        </w:rPr>
        <w:fldChar w:fldCharType="begin"/>
      </w:r>
      <w:r>
        <w:rPr>
          <w:color w:val="384F92"/>
        </w:rPr>
        <w:instrText xml:space="preserve"> HYPERLINK \l "_Toc531679176" </w:instrText>
      </w:r>
      <w:r>
        <w:rPr>
          <w:color w:val="384F92"/>
        </w:rPr>
        <w:fldChar w:fldCharType="separate"/>
      </w:r>
      <w:r>
        <w:rPr>
          <w:rStyle w:val="16"/>
          <w:rFonts w:asciiTheme="minorEastAsia" w:hAnsiTheme="minorEastAsia" w:eastAsiaTheme="minorEastAsia"/>
          <w:b/>
          <w:color w:val="384F92"/>
          <w:sz w:val="28"/>
          <w:szCs w:val="28"/>
        </w:rPr>
        <w:t>7.</w:t>
      </w:r>
      <w:r>
        <w:rPr>
          <w:rStyle w:val="16"/>
          <w:rFonts w:hint="eastAsia" w:asciiTheme="minorEastAsia" w:hAnsiTheme="minorEastAsia" w:eastAsiaTheme="minorEastAsia"/>
          <w:b/>
          <w:color w:val="384F92"/>
          <w:sz w:val="28"/>
          <w:szCs w:val="28"/>
        </w:rPr>
        <w:t>特色创新</w:t>
      </w:r>
      <w:r>
        <w:rPr>
          <w:rFonts w:asciiTheme="minorEastAsia" w:hAnsiTheme="minorEastAsia" w:eastAsiaTheme="minorEastAsia"/>
          <w:b/>
          <w:color w:val="384F92"/>
          <w:sz w:val="28"/>
          <w:szCs w:val="28"/>
        </w:rPr>
        <w:tab/>
      </w:r>
      <w:r>
        <w:rPr>
          <w:rFonts w:asciiTheme="minorEastAsia" w:hAnsiTheme="minorEastAsia" w:eastAsiaTheme="minorEastAsia"/>
          <w:b/>
          <w:color w:val="384F92"/>
          <w:sz w:val="28"/>
          <w:szCs w:val="28"/>
        </w:rPr>
        <w:fldChar w:fldCharType="begin"/>
      </w:r>
      <w:r>
        <w:rPr>
          <w:rFonts w:asciiTheme="minorEastAsia" w:hAnsiTheme="minorEastAsia" w:eastAsiaTheme="minorEastAsia"/>
          <w:b/>
          <w:color w:val="384F92"/>
          <w:sz w:val="28"/>
          <w:szCs w:val="28"/>
        </w:rPr>
        <w:instrText xml:space="preserve"> PAGEREF _Toc531679176 \h </w:instrText>
      </w:r>
      <w:r>
        <w:rPr>
          <w:rFonts w:asciiTheme="minorEastAsia" w:hAnsiTheme="minorEastAsia" w:eastAsiaTheme="minorEastAsia"/>
          <w:b/>
          <w:color w:val="384F92"/>
          <w:sz w:val="28"/>
          <w:szCs w:val="28"/>
        </w:rPr>
        <w:fldChar w:fldCharType="separate"/>
      </w:r>
      <w:r>
        <w:rPr>
          <w:rFonts w:hint="eastAsia" w:asciiTheme="minorEastAsia" w:hAnsiTheme="minorEastAsia" w:eastAsiaTheme="minorEastAsia"/>
          <w:b/>
          <w:color w:val="384F92"/>
          <w:sz w:val="28"/>
          <w:szCs w:val="28"/>
          <w:lang w:val="en-US" w:eastAsia="zh-CN"/>
        </w:rPr>
        <w:t>42</w:t>
      </w:r>
      <w:r>
        <w:rPr>
          <w:rFonts w:asciiTheme="minorEastAsia" w:hAnsiTheme="minorEastAsia" w:eastAsiaTheme="minorEastAsia"/>
          <w:b/>
          <w:color w:val="384F92"/>
          <w:sz w:val="28"/>
          <w:szCs w:val="28"/>
        </w:rPr>
        <w:fldChar w:fldCharType="end"/>
      </w:r>
      <w:r>
        <w:rPr>
          <w:rFonts w:asciiTheme="minorEastAsia" w:hAnsiTheme="minorEastAsia" w:eastAsiaTheme="minorEastAsia"/>
          <w:b/>
          <w:color w:val="384F92"/>
          <w:sz w:val="28"/>
          <w:szCs w:val="28"/>
        </w:rPr>
        <w:fldChar w:fldCharType="end"/>
      </w:r>
    </w:p>
    <w:p>
      <w:pPr>
        <w:pStyle w:val="9"/>
        <w:tabs>
          <w:tab w:val="right" w:leader="dot" w:pos="8302"/>
        </w:tabs>
        <w:rPr>
          <w:rFonts w:hint="eastAsia" w:asciiTheme="minorEastAsia" w:hAnsiTheme="minorEastAsia" w:eastAsiaTheme="minorEastAsia" w:cstheme="minorBidi"/>
          <w:b w:val="0"/>
          <w:bCs w:val="0"/>
          <w:kern w:val="2"/>
          <w:sz w:val="28"/>
          <w:szCs w:val="28"/>
          <w:lang w:val="en-US" w:eastAsia="zh-CN"/>
        </w:rPr>
      </w:pPr>
      <w:r>
        <w:fldChar w:fldCharType="begin"/>
      </w:r>
      <w:r>
        <w:instrText xml:space="preserve"> HYPERLINK \l "_Toc531679177" </w:instrText>
      </w:r>
      <w:r>
        <w:fldChar w:fldCharType="separate"/>
      </w:r>
      <w:r>
        <w:rPr>
          <w:rFonts w:hint="eastAsia" w:ascii="宋体" w:hAnsi="宋体" w:cs="宋体"/>
          <w:b w:val="0"/>
          <w:bCs w:val="0"/>
          <w:sz w:val="28"/>
          <w:szCs w:val="28"/>
        </w:rPr>
        <w:t>【案例1】阿坝州举办首届“政行校企协”联动论坛</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4</w:t>
      </w:r>
      <w:r>
        <w:rPr>
          <w:rFonts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lang w:val="en-US" w:eastAsia="zh-CN"/>
        </w:rPr>
        <w:t>2</w:t>
      </w:r>
    </w:p>
    <w:p>
      <w:pPr>
        <w:pStyle w:val="9"/>
        <w:tabs>
          <w:tab w:val="right" w:leader="dot" w:pos="8302"/>
        </w:tabs>
        <w:rPr>
          <w:rFonts w:hint="eastAsia" w:asciiTheme="minorEastAsia" w:hAnsiTheme="minorEastAsia" w:eastAsiaTheme="minorEastAsia" w:cstheme="minorBidi"/>
          <w:b w:val="0"/>
          <w:bCs w:val="0"/>
          <w:kern w:val="2"/>
          <w:sz w:val="28"/>
          <w:szCs w:val="28"/>
          <w:lang w:val="en-US" w:eastAsia="zh-CN"/>
        </w:rPr>
      </w:pPr>
      <w:r>
        <w:fldChar w:fldCharType="begin"/>
      </w:r>
      <w:r>
        <w:instrText xml:space="preserve"> HYPERLINK \l "_Toc531679183" </w:instrText>
      </w:r>
      <w:r>
        <w:fldChar w:fldCharType="separate"/>
      </w:r>
      <w:r>
        <w:rPr>
          <w:rFonts w:hint="eastAsia" w:ascii="宋体" w:hAnsi="宋体" w:cs="宋体"/>
          <w:b w:val="0"/>
          <w:bCs w:val="0"/>
          <w:sz w:val="28"/>
          <w:szCs w:val="28"/>
        </w:rPr>
        <w:t>【案例2】阿坝州首届“双元双向”人才培养模式试点落户</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4</w:t>
      </w:r>
      <w:r>
        <w:rPr>
          <w:rFonts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lang w:val="en-US" w:eastAsia="zh-CN"/>
        </w:rPr>
        <w:t>5</w:t>
      </w:r>
    </w:p>
    <w:p>
      <w:pPr>
        <w:pStyle w:val="8"/>
        <w:tabs>
          <w:tab w:val="right" w:leader="dot" w:pos="8302"/>
        </w:tabs>
        <w:rPr>
          <w:rFonts w:hint="eastAsia" w:asciiTheme="minorEastAsia" w:hAnsiTheme="minorEastAsia" w:eastAsiaTheme="minorEastAsia" w:cstheme="minorBidi"/>
          <w:b/>
          <w:color w:val="291770"/>
          <w:kern w:val="2"/>
          <w:sz w:val="28"/>
          <w:szCs w:val="28"/>
          <w:lang w:val="en-US" w:eastAsia="zh-CN"/>
        </w:rPr>
      </w:pPr>
      <w:r>
        <w:rPr>
          <w:color w:val="384F92"/>
        </w:rPr>
        <w:fldChar w:fldCharType="begin"/>
      </w:r>
      <w:r>
        <w:rPr>
          <w:color w:val="384F92"/>
        </w:rPr>
        <w:instrText xml:space="preserve"> HYPERLINK \l "_Toc531679192" </w:instrText>
      </w:r>
      <w:r>
        <w:rPr>
          <w:color w:val="384F92"/>
        </w:rPr>
        <w:fldChar w:fldCharType="separate"/>
      </w:r>
      <w:r>
        <w:rPr>
          <w:rStyle w:val="16"/>
          <w:rFonts w:asciiTheme="minorEastAsia" w:hAnsiTheme="minorEastAsia" w:eastAsiaTheme="minorEastAsia"/>
          <w:b/>
          <w:color w:val="384F92"/>
          <w:sz w:val="28"/>
          <w:szCs w:val="28"/>
        </w:rPr>
        <w:t>8.</w:t>
      </w:r>
      <w:r>
        <w:rPr>
          <w:rStyle w:val="16"/>
          <w:rFonts w:hint="eastAsia" w:asciiTheme="minorEastAsia" w:hAnsiTheme="minorEastAsia" w:eastAsiaTheme="minorEastAsia"/>
          <w:b/>
          <w:color w:val="384F92"/>
          <w:sz w:val="28"/>
          <w:szCs w:val="28"/>
        </w:rPr>
        <w:t>主要问题和改进措施</w:t>
      </w:r>
      <w:r>
        <w:rPr>
          <w:rFonts w:asciiTheme="minorEastAsia" w:hAnsiTheme="minorEastAsia" w:eastAsiaTheme="minorEastAsia"/>
          <w:b/>
          <w:color w:val="384F92"/>
          <w:sz w:val="28"/>
          <w:szCs w:val="28"/>
        </w:rPr>
        <w:tab/>
      </w:r>
      <w:r>
        <w:rPr>
          <w:rFonts w:hint="eastAsia" w:asciiTheme="minorEastAsia" w:hAnsiTheme="minorEastAsia" w:eastAsiaTheme="minorEastAsia"/>
          <w:b/>
          <w:color w:val="384F92"/>
          <w:sz w:val="28"/>
          <w:szCs w:val="28"/>
          <w:lang w:val="en-US" w:eastAsia="zh-CN"/>
        </w:rPr>
        <w:t>4</w:t>
      </w:r>
      <w:r>
        <w:rPr>
          <w:rFonts w:asciiTheme="minorEastAsia" w:hAnsiTheme="minorEastAsia" w:eastAsiaTheme="minorEastAsia"/>
          <w:b/>
          <w:color w:val="384F92"/>
          <w:sz w:val="28"/>
          <w:szCs w:val="28"/>
        </w:rPr>
        <w:fldChar w:fldCharType="end"/>
      </w:r>
      <w:r>
        <w:rPr>
          <w:rFonts w:hint="eastAsia" w:asciiTheme="minorEastAsia" w:hAnsiTheme="minorEastAsia" w:eastAsiaTheme="minorEastAsia"/>
          <w:b/>
          <w:color w:val="384F92"/>
          <w:sz w:val="28"/>
          <w:szCs w:val="28"/>
          <w:lang w:val="en-US" w:eastAsia="zh-CN"/>
        </w:rPr>
        <w:t>6</w:t>
      </w:r>
    </w:p>
    <w:p>
      <w:pPr>
        <w:pStyle w:val="9"/>
        <w:tabs>
          <w:tab w:val="right" w:leader="dot" w:pos="8302"/>
        </w:tabs>
        <w:rPr>
          <w:rFonts w:hint="eastAsia" w:asciiTheme="minorEastAsia" w:hAnsiTheme="minorEastAsia" w:eastAsiaTheme="minorEastAsia" w:cstheme="minorBidi"/>
          <w:b w:val="0"/>
          <w:bCs w:val="0"/>
          <w:kern w:val="2"/>
          <w:sz w:val="28"/>
          <w:szCs w:val="28"/>
          <w:lang w:val="en-US" w:eastAsia="zh-CN"/>
        </w:rPr>
      </w:pPr>
      <w:r>
        <w:fldChar w:fldCharType="begin"/>
      </w:r>
      <w:r>
        <w:instrText xml:space="preserve"> HYPERLINK \l "_Toc531679193" </w:instrText>
      </w:r>
      <w:r>
        <w:fldChar w:fldCharType="separate"/>
      </w:r>
      <w:r>
        <w:rPr>
          <w:rStyle w:val="16"/>
          <w:rFonts w:asciiTheme="minorEastAsia" w:hAnsiTheme="minorEastAsia" w:eastAsiaTheme="minorEastAsia"/>
          <w:b w:val="0"/>
          <w:sz w:val="28"/>
          <w:szCs w:val="28"/>
        </w:rPr>
        <w:t>8.1</w:t>
      </w:r>
      <w:r>
        <w:rPr>
          <w:rStyle w:val="16"/>
          <w:rFonts w:hint="eastAsia" w:asciiTheme="minorEastAsia" w:hAnsiTheme="minorEastAsia" w:eastAsiaTheme="minorEastAsia"/>
          <w:b w:val="0"/>
          <w:sz w:val="28"/>
          <w:szCs w:val="28"/>
        </w:rPr>
        <w:t>主要问题</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4</w:t>
      </w:r>
      <w:r>
        <w:rPr>
          <w:rFonts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lang w:val="en-US" w:eastAsia="zh-CN"/>
        </w:rPr>
        <w:t>6</w:t>
      </w:r>
    </w:p>
    <w:p>
      <w:pPr>
        <w:pStyle w:val="9"/>
        <w:tabs>
          <w:tab w:val="right" w:leader="dot" w:pos="8302"/>
        </w:tabs>
        <w:rPr>
          <w:rFonts w:hint="eastAsia" w:asciiTheme="minorEastAsia" w:hAnsiTheme="minorEastAsia" w:eastAsiaTheme="minorEastAsia" w:cstheme="minorBidi"/>
          <w:b w:val="0"/>
          <w:bCs w:val="0"/>
          <w:kern w:val="2"/>
          <w:sz w:val="28"/>
          <w:szCs w:val="28"/>
          <w:lang w:val="en-US" w:eastAsia="zh-CN"/>
        </w:rPr>
      </w:pPr>
      <w:r>
        <w:fldChar w:fldCharType="begin"/>
      </w:r>
      <w:r>
        <w:instrText xml:space="preserve"> HYPERLINK \l "_Toc531679194" </w:instrText>
      </w:r>
      <w:r>
        <w:fldChar w:fldCharType="separate"/>
      </w:r>
      <w:r>
        <w:rPr>
          <w:rStyle w:val="16"/>
          <w:rFonts w:asciiTheme="minorEastAsia" w:hAnsiTheme="minorEastAsia" w:eastAsiaTheme="minorEastAsia"/>
          <w:b w:val="0"/>
          <w:sz w:val="28"/>
          <w:szCs w:val="28"/>
        </w:rPr>
        <w:t>8.2</w:t>
      </w:r>
      <w:r>
        <w:rPr>
          <w:rStyle w:val="16"/>
          <w:rFonts w:hint="eastAsia" w:asciiTheme="minorEastAsia" w:hAnsiTheme="minorEastAsia" w:eastAsiaTheme="minorEastAsia"/>
          <w:b w:val="0"/>
          <w:sz w:val="28"/>
          <w:szCs w:val="28"/>
        </w:rPr>
        <w:t>改进措施</w:t>
      </w:r>
      <w:r>
        <w:rPr>
          <w:rFonts w:asciiTheme="minorEastAsia" w:hAnsiTheme="minorEastAsia" w:eastAsiaTheme="minorEastAsia"/>
          <w:b w:val="0"/>
          <w:sz w:val="28"/>
          <w:szCs w:val="28"/>
        </w:rPr>
        <w:tab/>
      </w:r>
      <w:r>
        <w:rPr>
          <w:rFonts w:hint="eastAsia" w:asciiTheme="minorEastAsia" w:hAnsiTheme="minorEastAsia" w:eastAsiaTheme="minorEastAsia"/>
          <w:b w:val="0"/>
          <w:sz w:val="28"/>
          <w:szCs w:val="28"/>
          <w:lang w:val="en-US" w:eastAsia="zh-CN"/>
        </w:rPr>
        <w:t>4</w:t>
      </w:r>
      <w:r>
        <w:rPr>
          <w:rFonts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lang w:val="en-US" w:eastAsia="zh-CN"/>
        </w:rPr>
        <w:t>7</w:t>
      </w:r>
    </w:p>
    <w:p>
      <w:pPr>
        <w:outlineLvl w:val="0"/>
        <w:rPr>
          <w:rFonts w:asciiTheme="minorEastAsia" w:hAnsiTheme="minorEastAsia" w:eastAsiaTheme="minorEastAsia" w:cstheme="minorEastAsia"/>
          <w:sz w:val="28"/>
          <w:szCs w:val="28"/>
        </w:rPr>
        <w:sectPr>
          <w:type w:val="continuous"/>
          <w:pgSz w:w="11906" w:h="16157"/>
          <w:pgMar w:top="1701" w:right="1797" w:bottom="1701" w:left="1797" w:header="851" w:footer="680" w:gutter="0"/>
          <w:pgNumType w:fmt="decimal" w:start="1"/>
          <w:cols w:space="0" w:num="1"/>
          <w:docGrid w:type="lines" w:linePitch="316" w:charSpace="0"/>
        </w:sectPr>
      </w:pPr>
      <w:r>
        <w:rPr>
          <w:rFonts w:hint="eastAsia" w:asciiTheme="minorEastAsia" w:hAnsiTheme="minorEastAsia" w:eastAsiaTheme="minorEastAsia" w:cstheme="minorEastAsia"/>
          <w:sz w:val="28"/>
          <w:szCs w:val="28"/>
        </w:rPr>
        <w:fldChar w:fldCharType="end"/>
      </w:r>
    </w:p>
    <w:bookmarkEnd w:id="0"/>
    <w:p>
      <w:pPr>
        <w:pStyle w:val="2"/>
        <w:ind w:firstLine="602"/>
        <w:rPr>
          <w:rFonts w:ascii="黑体" w:hAnsi="黑体"/>
        </w:rPr>
      </w:pPr>
      <w:bookmarkStart w:id="1" w:name="_Toc531602422"/>
      <w:bookmarkStart w:id="2" w:name="_Toc531602770"/>
      <w:bookmarkStart w:id="3" w:name="_Toc531679145"/>
      <w:r>
        <w:rPr>
          <w:rFonts w:hint="eastAsia" w:ascii="黑体" w:hAnsi="黑体"/>
        </w:rPr>
        <w:t>1.学校情况</w:t>
      </w:r>
      <w:bookmarkEnd w:id="1"/>
      <w:bookmarkEnd w:id="2"/>
      <w:bookmarkEnd w:id="3"/>
    </w:p>
    <w:p>
      <w:pPr>
        <w:pStyle w:val="3"/>
        <w:ind w:firstLine="562"/>
        <w:rPr>
          <w:rFonts w:ascii="宋体" w:hAnsi="宋体" w:eastAsia="宋体" w:cs="宋体"/>
          <w:color w:val="000000"/>
          <w:szCs w:val="28"/>
        </w:rPr>
      </w:pPr>
      <w:bookmarkStart w:id="4" w:name="_Toc8185"/>
      <w:bookmarkStart w:id="5" w:name="_Toc531602423"/>
      <w:bookmarkStart w:id="6" w:name="_Toc531602771"/>
      <w:bookmarkStart w:id="7" w:name="_Toc531679146"/>
      <w:r>
        <w:rPr>
          <w:rFonts w:ascii="黑体" w:hAnsi="黑体"/>
        </w:rPr>
        <w:t>1.1</w:t>
      </w:r>
      <w:bookmarkEnd w:id="4"/>
      <w:r>
        <w:rPr>
          <w:rFonts w:hint="eastAsia"/>
        </w:rPr>
        <w:t>学校概况：</w:t>
      </w:r>
      <w:bookmarkEnd w:id="5"/>
      <w:bookmarkEnd w:id="6"/>
      <w:bookmarkEnd w:id="7"/>
      <w:r>
        <w:rPr>
          <w:rFonts w:hint="eastAsia"/>
        </w:rPr>
        <w:t>砥砺前行 积淀办学成果</w:t>
      </w:r>
    </w:p>
    <w:p>
      <w:pPr>
        <w:ind w:firstLine="560" w:firstLineChars="200"/>
        <w:rPr>
          <w:rFonts w:ascii="宋体" w:hAnsi="宋体" w:cs="宋体"/>
          <w:color w:val="000000"/>
          <w:sz w:val="28"/>
          <w:szCs w:val="28"/>
        </w:rPr>
      </w:pPr>
      <w:r>
        <w:rPr>
          <w:rFonts w:hint="eastAsia" w:ascii="宋体" w:hAnsi="宋体" w:cs="宋体"/>
          <w:color w:val="000000"/>
          <w:sz w:val="28"/>
          <w:szCs w:val="28"/>
        </w:rPr>
        <w:t>阿坝州中等职业技术学校组建于2003年11月，州委、州政府为了整合阿坝州职教资源，先后三次将州内四所中专、四所技工学校、一个企业组建成立了阿坝中职校，目前是一所多层次、融中职教育、“3+2”高职专科教育、成人本、专科学历教育、各类实用型人才培养于一体的综合性的省部级重点职业学校，是省委、省政府确定的“四川省省级劳务培训基地”、“四川省高技能人才培训基地”；是阿坝州旅游从业人员培训基地、新进事业单位工作人员岗前培训基地、实用技术人才培训基地。学校现开设有畜牧兽医、畜牧兽医（藏兽医）、会计、机电技术应用、汽车运用与维修、民族音乐与舞蹈、民族美术、景区服务与管理、高星级饭店运营与管理等专业。其中，藏兽医是全国中等职业学校唯一举办的国家特色专业，学校自己编写出版了校本教材；畜牧兽医、藏羌艺术为省内特色优势专业；机电技术应用、畜牧兽医、藏羌艺术为省部级重点专业。</w:t>
      </w:r>
    </w:p>
    <w:p>
      <w:pPr>
        <w:ind w:firstLine="560" w:firstLineChars="200"/>
        <w:rPr>
          <w:rFonts w:ascii="宋体" w:hAnsi="宋体" w:cs="宋体"/>
          <w:color w:val="000000"/>
          <w:sz w:val="28"/>
          <w:szCs w:val="28"/>
        </w:rPr>
      </w:pPr>
      <w:r>
        <w:rPr>
          <w:rFonts w:hint="eastAsia" w:ascii="宋体" w:hAnsi="宋体" w:cs="宋体"/>
          <w:color w:val="000000"/>
          <w:sz w:val="28"/>
          <w:szCs w:val="28"/>
        </w:rPr>
        <w:t>学校自2003年11月组建后</w:t>
      </w:r>
      <w:r>
        <w:rPr>
          <w:rFonts w:hint="eastAsia" w:ascii="宋体" w:hAnsi="宋体" w:cs="宋体"/>
          <w:color w:val="auto"/>
          <w:sz w:val="28"/>
          <w:szCs w:val="28"/>
        </w:rPr>
        <w:t>，多次</w:t>
      </w:r>
      <w:r>
        <w:rPr>
          <w:rFonts w:hint="eastAsia" w:ascii="宋体" w:hAnsi="宋体" w:cs="宋体"/>
          <w:color w:val="000000"/>
          <w:sz w:val="28"/>
          <w:szCs w:val="28"/>
        </w:rPr>
        <w:t>受到省、州以上表彰，先后获得“全国职业教育先进单位”“四川省中等职业教育学生内务管理示范学校”“四川省高技能人才培训基地”“四川省藏区免费中等职业教育工作先进集体”等荣誉。2018年，为积极支持阿坝州政府建立四川藏区公办综合型高职学院——阿坝职业学院，学校校址从茂县校区搬迁至九寨沟县城新区；同年学校</w:t>
      </w:r>
      <w:r>
        <w:rPr>
          <w:rFonts w:hint="eastAsia" w:cs="宋体" w:asciiTheme="minorEastAsia" w:hAnsiTheme="minorEastAsia" w:eastAsiaTheme="minorEastAsia"/>
          <w:sz w:val="28"/>
          <w:szCs w:val="28"/>
        </w:rPr>
        <w:t>被</w:t>
      </w:r>
      <w:r>
        <w:rPr>
          <w:rFonts w:hint="eastAsia" w:ascii="宋体" w:hAnsi="宋体" w:cs="宋体"/>
          <w:color w:val="000000"/>
          <w:sz w:val="28"/>
          <w:szCs w:val="28"/>
        </w:rPr>
        <w:t>列入四川省示范中等职业学校第二批创建名单。</w:t>
      </w:r>
    </w:p>
    <w:p>
      <w:pPr>
        <w:jc w:val="center"/>
      </w:pPr>
      <w:r>
        <w:drawing>
          <wp:inline distT="0" distB="0" distL="114300" distR="114300">
            <wp:extent cx="5741670" cy="2926715"/>
            <wp:effectExtent l="0" t="0" r="11430" b="698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16"/>
                    <a:stretch>
                      <a:fillRect/>
                    </a:stretch>
                  </pic:blipFill>
                  <pic:spPr>
                    <a:xfrm>
                      <a:off x="0" y="0"/>
                      <a:ext cx="5741670" cy="2926715"/>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学校荣誉</w:t>
      </w:r>
    </w:p>
    <w:p>
      <w:pPr>
        <w:jc w:val="center"/>
        <w:rPr>
          <w:rFonts w:ascii="楷体" w:hAnsi="楷体" w:eastAsia="楷体" w:cs="楷体"/>
        </w:rPr>
      </w:pPr>
    </w:p>
    <w:p>
      <w:pPr>
        <w:ind w:firstLine="560" w:firstLineChars="200"/>
        <w:rPr>
          <w:rFonts w:ascii="宋体" w:hAnsi="宋体" w:cs="宋体"/>
          <w:color w:val="000000"/>
          <w:sz w:val="28"/>
          <w:szCs w:val="28"/>
        </w:rPr>
      </w:pPr>
      <w:r>
        <w:rPr>
          <w:rFonts w:hint="eastAsia" w:ascii="宋体" w:hAnsi="宋体" w:cs="宋体"/>
          <w:color w:val="000000"/>
          <w:sz w:val="28"/>
          <w:szCs w:val="28"/>
        </w:rPr>
        <w:t>本年度学校立足州情，走出州门，辐射州边，面向农村，致富农民，服务社会；在办学上普招与成招相结合，中专与大专相结合，培养与培训相结合，自办与联办相结合；在培养模式上通过半工半读、顶岗实习等形式促进产学结合，按照“厚基础、宽口径、重实践”的原则，大力推行订单式培养。学校以</w:t>
      </w:r>
      <w:r>
        <w:rPr>
          <w:rFonts w:hint="eastAsia" w:ascii="宋体" w:hAnsi="宋体" w:cs="宋体"/>
          <w:color w:val="auto"/>
          <w:sz w:val="28"/>
          <w:szCs w:val="28"/>
        </w:rPr>
        <w:t>“三个跳出”“三个服务”“三个结合”“三个围绕”“四个合作”为抓手，</w:t>
      </w:r>
      <w:r>
        <w:rPr>
          <w:rFonts w:hint="eastAsia" w:ascii="宋体" w:hAnsi="宋体" w:cs="宋体"/>
          <w:color w:val="000000"/>
          <w:sz w:val="28"/>
          <w:szCs w:val="28"/>
        </w:rPr>
        <w:t>以教学常规管理为切入点，狠抓师风师德建设，内强管理，依法治教，深化教育教学改革，大力开展各类实用技术培训，助力阿坝州乡村振兴和精准扶贫，积极推进校企合作和对口援建工作，创建省级示范中等职业学校，着力提升学校软实力，构建和谐校园，积极推动职业教育再上新台阶。</w:t>
      </w:r>
    </w:p>
    <w:p>
      <w:pPr>
        <w:jc w:val="center"/>
        <w:rPr>
          <w:rFonts w:ascii="宋体" w:hAnsi="宋体" w:cs="宋体"/>
          <w:color w:val="000000"/>
          <w:sz w:val="28"/>
          <w:szCs w:val="28"/>
        </w:rPr>
      </w:pPr>
      <w:r>
        <w:rPr>
          <w:rFonts w:hint="eastAsia" w:ascii="宋体" w:hAnsi="宋体" w:cs="宋体"/>
          <w:color w:val="000000"/>
          <w:sz w:val="28"/>
          <w:szCs w:val="28"/>
        </w:rPr>
        <w:drawing>
          <wp:inline distT="0" distB="0" distL="114300" distR="114300">
            <wp:extent cx="2419350" cy="1624965"/>
            <wp:effectExtent l="0" t="0" r="0" b="13335"/>
            <wp:docPr id="7" name="图片 7" descr="微信图片_201912061708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微信图片_20191206170837"/>
                    <pic:cNvPicPr>
                      <a:picLocks noChangeAspect="true"/>
                    </pic:cNvPicPr>
                  </pic:nvPicPr>
                  <pic:blipFill>
                    <a:blip r:embed="rId17"/>
                    <a:stretch>
                      <a:fillRect/>
                    </a:stretch>
                  </pic:blipFill>
                  <pic:spPr>
                    <a:xfrm>
                      <a:off x="0" y="0"/>
                      <a:ext cx="2419350" cy="1624965"/>
                    </a:xfrm>
                    <a:prstGeom prst="rect">
                      <a:avLst/>
                    </a:prstGeom>
                  </pic:spPr>
                </pic:pic>
              </a:graphicData>
            </a:graphic>
          </wp:inline>
        </w:drawing>
      </w:r>
      <w:r>
        <w:rPr>
          <w:rFonts w:hint="eastAsia" w:ascii="宋体" w:hAnsi="宋体" w:cs="宋体"/>
          <w:color w:val="000000"/>
          <w:sz w:val="28"/>
          <w:szCs w:val="28"/>
        </w:rPr>
        <w:t xml:space="preserve"> </w:t>
      </w:r>
      <w:r>
        <w:rPr>
          <w:rFonts w:hint="eastAsia" w:ascii="宋体" w:hAnsi="宋体" w:cs="宋体"/>
          <w:color w:val="000000"/>
          <w:sz w:val="28"/>
          <w:szCs w:val="28"/>
        </w:rPr>
        <w:drawing>
          <wp:inline distT="0" distB="0" distL="114300" distR="114300">
            <wp:extent cx="2358390" cy="1638300"/>
            <wp:effectExtent l="0" t="0" r="3810" b="0"/>
            <wp:docPr id="3" name="图片 3"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true"/>
                    </pic:cNvPicPr>
                  </pic:nvPicPr>
                  <pic:blipFill>
                    <a:blip r:embed="rId18"/>
                    <a:stretch>
                      <a:fillRect/>
                    </a:stretch>
                  </pic:blipFill>
                  <pic:spPr>
                    <a:xfrm>
                      <a:off x="0" y="0"/>
                      <a:ext cx="2358390" cy="1638300"/>
                    </a:xfrm>
                    <a:prstGeom prst="rect">
                      <a:avLst/>
                    </a:prstGeom>
                  </pic:spPr>
                </pic:pic>
              </a:graphicData>
            </a:graphic>
          </wp:inline>
        </w:drawing>
      </w:r>
      <w:r>
        <w:rPr>
          <w:rFonts w:hint="eastAsia" w:ascii="宋体" w:hAnsi="宋体" w:cs="宋体"/>
          <w:color w:val="000000"/>
          <w:sz w:val="28"/>
          <w:szCs w:val="28"/>
        </w:rPr>
        <w:t xml:space="preserve"> </w:t>
      </w:r>
    </w:p>
    <w:p>
      <w:pPr>
        <w:ind w:firstLine="420" w:firstLineChars="200"/>
        <w:rPr>
          <w:rFonts w:ascii="楷体" w:hAnsi="楷体" w:eastAsia="楷体" w:cs="楷体"/>
          <w:color w:val="000000"/>
          <w:szCs w:val="21"/>
        </w:rPr>
      </w:pPr>
      <w:r>
        <w:rPr>
          <w:rFonts w:hint="eastAsia" w:ascii="楷体" w:hAnsi="楷体" w:eastAsia="楷体" w:cs="楷体"/>
          <w:color w:val="000000"/>
          <w:szCs w:val="21"/>
        </w:rPr>
        <w:t>学校举办阿坝州首届“政行校企协”联动论坛     九寨沟县委副书记、县长陶钢率队</w:t>
      </w:r>
    </w:p>
    <w:p>
      <w:pPr>
        <w:ind w:firstLine="1050" w:firstLineChars="500"/>
        <w:rPr>
          <w:rFonts w:ascii="楷体" w:hAnsi="楷体" w:eastAsia="楷体" w:cs="楷体"/>
          <w:color w:val="000000"/>
          <w:szCs w:val="21"/>
        </w:rPr>
      </w:pPr>
      <w:r>
        <w:rPr>
          <w:rFonts w:hint="eastAsia" w:ascii="楷体" w:hAnsi="楷体" w:eastAsia="楷体" w:cs="楷体"/>
          <w:color w:val="000000"/>
          <w:szCs w:val="21"/>
        </w:rPr>
        <w:t>暨现代学徒制订单培养签约仪式                   莅临学校调研</w:t>
      </w:r>
    </w:p>
    <w:p>
      <w:pPr>
        <w:jc w:val="center"/>
        <w:rPr>
          <w:rFonts w:ascii="宋体" w:hAnsi="宋体" w:cs="宋体"/>
          <w:color w:val="000000"/>
          <w:sz w:val="28"/>
          <w:szCs w:val="28"/>
        </w:rPr>
      </w:pPr>
      <w:r>
        <w:rPr>
          <w:rFonts w:hint="eastAsia" w:ascii="楷体" w:hAnsi="楷体" w:eastAsia="楷体" w:cs="楷体"/>
          <w:color w:val="000000"/>
          <w:szCs w:val="21"/>
        </w:rPr>
        <w:drawing>
          <wp:inline distT="0" distB="0" distL="114300" distR="114300">
            <wp:extent cx="2419985" cy="1618615"/>
            <wp:effectExtent l="0" t="0" r="18415" b="635"/>
            <wp:docPr id="5" name="图片 5" descr="微信图片_201912061655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微信图片_20191206165554"/>
                    <pic:cNvPicPr>
                      <a:picLocks noChangeAspect="true"/>
                    </pic:cNvPicPr>
                  </pic:nvPicPr>
                  <pic:blipFill>
                    <a:blip r:embed="rId19"/>
                    <a:stretch>
                      <a:fillRect/>
                    </a:stretch>
                  </pic:blipFill>
                  <pic:spPr>
                    <a:xfrm>
                      <a:off x="0" y="0"/>
                      <a:ext cx="2419985" cy="1618615"/>
                    </a:xfrm>
                    <a:prstGeom prst="rect">
                      <a:avLst/>
                    </a:prstGeom>
                  </pic:spPr>
                </pic:pic>
              </a:graphicData>
            </a:graphic>
          </wp:inline>
        </w:drawing>
      </w:r>
      <w:r>
        <w:rPr>
          <w:rFonts w:hint="eastAsia" w:ascii="楷体" w:hAnsi="楷体" w:eastAsia="楷体" w:cs="楷体"/>
          <w:color w:val="000000"/>
          <w:szCs w:val="21"/>
        </w:rPr>
        <w:t xml:space="preserve"> </w:t>
      </w:r>
      <w:r>
        <w:rPr>
          <w:rFonts w:hint="eastAsia" w:ascii="宋体" w:hAnsi="宋体" w:cs="宋体"/>
          <w:color w:val="000000"/>
          <w:sz w:val="28"/>
          <w:szCs w:val="28"/>
        </w:rPr>
        <w:drawing>
          <wp:inline distT="0" distB="0" distL="114300" distR="114300">
            <wp:extent cx="2376170" cy="1619250"/>
            <wp:effectExtent l="0" t="0" r="5080" b="0"/>
            <wp:docPr id="2" name="图片 2" descr="微信图片_201912061645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微信图片_20191206164543"/>
                    <pic:cNvPicPr>
                      <a:picLocks noChangeAspect="true"/>
                    </pic:cNvPicPr>
                  </pic:nvPicPr>
                  <pic:blipFill>
                    <a:blip r:embed="rId20"/>
                    <a:stretch>
                      <a:fillRect/>
                    </a:stretch>
                  </pic:blipFill>
                  <pic:spPr>
                    <a:xfrm>
                      <a:off x="0" y="0"/>
                      <a:ext cx="2376170" cy="1619250"/>
                    </a:xfrm>
                    <a:prstGeom prst="rect">
                      <a:avLst/>
                    </a:prstGeom>
                  </pic:spPr>
                </pic:pic>
              </a:graphicData>
            </a:graphic>
          </wp:inline>
        </w:drawing>
      </w:r>
    </w:p>
    <w:p>
      <w:pPr>
        <w:ind w:firstLine="630" w:firstLineChars="300"/>
        <w:rPr>
          <w:rFonts w:ascii="宋体" w:hAnsi="宋体" w:cs="宋体"/>
          <w:color w:val="000000"/>
          <w:sz w:val="28"/>
          <w:szCs w:val="28"/>
        </w:rPr>
      </w:pPr>
      <w:r>
        <w:rPr>
          <w:rFonts w:hint="eastAsia" w:ascii="楷体" w:hAnsi="楷体" w:eastAsia="楷体" w:cs="楷体"/>
          <w:color w:val="000000"/>
          <w:szCs w:val="21"/>
        </w:rPr>
        <w:t xml:space="preserve">       省示范校建设项目启动仪式         学校参加2019年7城职业教育成果展</w:t>
      </w:r>
    </w:p>
    <w:p/>
    <w:p>
      <w:pPr>
        <w:ind w:firstLine="560" w:firstLineChars="200"/>
        <w:rPr>
          <w:rFonts w:ascii="宋体" w:hAnsi="宋体" w:cs="宋体"/>
          <w:color w:val="000000"/>
          <w:sz w:val="28"/>
          <w:szCs w:val="28"/>
        </w:rPr>
      </w:pPr>
      <w:r>
        <w:rPr>
          <w:rFonts w:hint="eastAsia" w:ascii="宋体" w:hAnsi="宋体" w:cs="宋体"/>
          <w:color w:val="000000"/>
          <w:sz w:val="28"/>
          <w:szCs w:val="28"/>
        </w:rPr>
        <w:t>学校现占地面积81654㎡，总建筑面积31736㎡</w:t>
      </w:r>
      <w:r>
        <w:rPr>
          <w:rFonts w:hint="eastAsia" w:ascii="宋体" w:hAnsi="宋体" w:cs="宋体"/>
          <w:color w:val="000000"/>
          <w:kern w:val="0"/>
          <w:sz w:val="28"/>
          <w:szCs w:val="28"/>
        </w:rPr>
        <w:t>，</w:t>
      </w:r>
      <w:r>
        <w:rPr>
          <w:rFonts w:hint="eastAsia" w:ascii="宋体" w:hAnsi="宋体" w:cs="宋体"/>
          <w:color w:val="000000"/>
          <w:sz w:val="28"/>
          <w:szCs w:val="28"/>
        </w:rPr>
        <w:t>教学及辅助用房面积7313㎡，校内实训用房面积6370㎡,学生宿舍面积10049㎡，其中A幢144间面积5163㎡，B幢65间面积2140㎡，C幢75间面积2746㎡；食堂2层面积3191㎡，校内建有1个标准塑胶运动场，4个篮球场，1个羽毛球场，面积共6395㎡，各项指标值与上年相比持平；生均占地面积</w:t>
      </w:r>
      <w:r>
        <w:rPr>
          <w:rFonts w:hint="eastAsia" w:ascii="宋体" w:hAnsi="宋体" w:cs="宋体"/>
          <w:color w:val="000000"/>
          <w:sz w:val="28"/>
          <w:szCs w:val="28"/>
          <w:lang w:val="en-US" w:eastAsia="zh-CN"/>
        </w:rPr>
        <w:t>105.63</w:t>
      </w:r>
      <w:r>
        <w:rPr>
          <w:rFonts w:hint="eastAsia" w:ascii="宋体" w:hAnsi="宋体" w:cs="宋体"/>
          <w:color w:val="000000"/>
          <w:sz w:val="28"/>
          <w:szCs w:val="28"/>
        </w:rPr>
        <w:t>㎡，生均建筑面积</w:t>
      </w:r>
      <w:r>
        <w:rPr>
          <w:rFonts w:hint="eastAsia" w:ascii="宋体" w:hAnsi="宋体" w:cs="宋体"/>
          <w:color w:val="000000"/>
          <w:sz w:val="28"/>
          <w:szCs w:val="28"/>
          <w:lang w:val="en-US" w:eastAsia="zh-CN"/>
        </w:rPr>
        <w:t>41.01</w:t>
      </w:r>
      <w:r>
        <w:rPr>
          <w:rFonts w:hint="eastAsia" w:ascii="宋体" w:hAnsi="宋体" w:cs="宋体"/>
          <w:color w:val="000000"/>
          <w:sz w:val="28"/>
          <w:szCs w:val="28"/>
        </w:rPr>
        <w:t>㎡，生均宿舍面积</w:t>
      </w:r>
      <w:r>
        <w:rPr>
          <w:rFonts w:hint="eastAsia" w:ascii="宋体" w:hAnsi="宋体" w:cs="宋体"/>
          <w:color w:val="000000"/>
          <w:sz w:val="28"/>
          <w:szCs w:val="28"/>
          <w:lang w:val="en-US" w:eastAsia="zh-CN"/>
        </w:rPr>
        <w:t>13</w:t>
      </w:r>
      <w:r>
        <w:rPr>
          <w:rFonts w:hint="eastAsia" w:ascii="宋体" w:hAnsi="宋体" w:cs="宋体"/>
          <w:color w:val="000000"/>
          <w:sz w:val="28"/>
          <w:szCs w:val="28"/>
        </w:rPr>
        <w:t>㎡，满足国家对中职学校办学条件的设置要求。</w:t>
      </w:r>
    </w:p>
    <w:p>
      <w:pPr>
        <w:jc w:val="center"/>
        <w:rPr>
          <w:rFonts w:ascii="楷体" w:hAnsi="楷体" w:eastAsia="楷体" w:cs="楷体"/>
        </w:rPr>
      </w:pPr>
      <w:r>
        <w:drawing>
          <wp:inline distT="0" distB="0" distL="114300" distR="114300">
            <wp:extent cx="4631690" cy="3094990"/>
            <wp:effectExtent l="0" t="0" r="16510" b="10160"/>
            <wp:docPr id="5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true"/>
                    </pic:cNvPicPr>
                  </pic:nvPicPr>
                  <pic:blipFill>
                    <a:blip r:embed="rId21"/>
                    <a:stretch>
                      <a:fillRect/>
                    </a:stretch>
                  </pic:blipFill>
                  <pic:spPr>
                    <a:xfrm>
                      <a:off x="0" y="0"/>
                      <a:ext cx="4631690" cy="3094990"/>
                    </a:xfrm>
                    <a:prstGeom prst="rect">
                      <a:avLst/>
                    </a:prstGeom>
                    <a:noFill/>
                    <a:ln>
                      <a:noFill/>
                    </a:ln>
                  </pic:spPr>
                </pic:pic>
              </a:graphicData>
            </a:graphic>
          </wp:inline>
        </w:drawing>
      </w:r>
    </w:p>
    <w:p>
      <w:pPr>
        <w:jc w:val="center"/>
        <w:rPr>
          <w:rFonts w:ascii="楷体" w:hAnsi="楷体" w:eastAsia="楷体" w:cs="楷体"/>
        </w:rPr>
      </w:pPr>
      <w:r>
        <w:rPr>
          <w:rFonts w:hint="eastAsia" w:ascii="楷体" w:hAnsi="楷体" w:eastAsia="楷体" w:cs="楷体"/>
        </w:rPr>
        <w:t>校园环境</w:t>
      </w:r>
    </w:p>
    <w:p>
      <w:pPr>
        <w:rPr>
          <w:rFonts w:ascii="楷体" w:hAnsi="楷体" w:eastAsia="楷体" w:cs="楷体"/>
        </w:rPr>
      </w:pPr>
    </w:p>
    <w:p>
      <w:pPr>
        <w:pStyle w:val="3"/>
        <w:ind w:firstLine="562"/>
      </w:pPr>
      <w:bookmarkStart w:id="8" w:name="_Toc18857"/>
      <w:bookmarkStart w:id="9" w:name="_Toc531602424"/>
      <w:bookmarkStart w:id="10" w:name="_Toc531679147"/>
      <w:bookmarkStart w:id="11" w:name="_Toc531602772"/>
      <w:r>
        <w:rPr>
          <w:rFonts w:ascii="黑体" w:hAnsi="黑体"/>
        </w:rPr>
        <w:t>1.2</w:t>
      </w:r>
      <w:r>
        <w:t>学生情况</w:t>
      </w:r>
      <w:bookmarkEnd w:id="8"/>
      <w:r>
        <w:rPr>
          <w:rFonts w:hint="eastAsia"/>
        </w:rPr>
        <w:t>：</w:t>
      </w:r>
      <w:bookmarkEnd w:id="9"/>
      <w:bookmarkEnd w:id="10"/>
      <w:bookmarkEnd w:id="11"/>
      <w:r>
        <w:rPr>
          <w:rFonts w:hint="eastAsia"/>
        </w:rPr>
        <w:t>强化招生工作 规模突破增长</w:t>
      </w:r>
    </w:p>
    <w:p>
      <w:pPr>
        <w:ind w:firstLine="560" w:firstLineChars="200"/>
        <w:rPr>
          <w:rFonts w:ascii="宋体" w:hAnsi="宋体" w:cs="宋体"/>
          <w:color w:val="000000"/>
          <w:sz w:val="28"/>
          <w:szCs w:val="28"/>
        </w:rPr>
      </w:pPr>
      <w:r>
        <w:rPr>
          <w:rFonts w:hint="eastAsia" w:ascii="宋体" w:hAnsi="宋体" w:cs="宋体"/>
          <w:color w:val="000000"/>
          <w:sz w:val="28"/>
          <w:szCs w:val="28"/>
        </w:rPr>
        <w:t>受校址搬迁影响，学校招生压力增大。本年度学校由一把手挂帅招生工作，确立了“早计划、早安排、早行动，重宣传”的“三早一重” 工作思路，提高全校职工的招生意识。学校党委书记、校长王树全同志多次带队前往成都、重庆、西昌、壤塘等地洽谈合作，采取校地合作、校企合作办学等多种模式，与壤塘县非遗传承合作办学、与凉山州劳务</w:t>
      </w:r>
      <w:r>
        <w:rPr>
          <w:rFonts w:hint="eastAsia" w:ascii="宋体" w:hAnsi="宋体" w:cs="宋体"/>
          <w:color w:val="auto"/>
          <w:sz w:val="28"/>
          <w:szCs w:val="28"/>
        </w:rPr>
        <w:t>扶贫</w:t>
      </w:r>
      <w:r>
        <w:rPr>
          <w:rFonts w:hint="eastAsia" w:ascii="宋体" w:hAnsi="宋体" w:cs="宋体"/>
          <w:color w:val="000000"/>
          <w:sz w:val="28"/>
          <w:szCs w:val="28"/>
        </w:rPr>
        <w:t>开发局合作办学；首次利用企业赞助，通过购买服务开展招生宣传，利用手机微信“微帮”全面发布招生简章，在一周内通过州内13个县、市及甘孜、凉山等地“微帮”共发布招生简章近千次，覆盖近30万平方公里超百万人次。</w:t>
      </w:r>
    </w:p>
    <w:p>
      <w:pPr>
        <w:ind w:firstLine="560" w:firstLineChars="200"/>
        <w:rPr>
          <w:rFonts w:ascii="宋体" w:hAnsi="宋体" w:cs="宋体"/>
          <w:color w:val="000000"/>
          <w:sz w:val="28"/>
          <w:szCs w:val="28"/>
        </w:rPr>
      </w:pPr>
      <w:r>
        <w:rPr>
          <w:rFonts w:hint="eastAsia" w:ascii="宋体" w:hAnsi="宋体" w:cs="宋体"/>
          <w:color w:val="000000"/>
          <w:sz w:val="28"/>
          <w:szCs w:val="28"/>
        </w:rPr>
        <w:t>通过多措并举，本年度学校招生工作实现突破性增长，当年招生</w:t>
      </w:r>
      <w:r>
        <w:rPr>
          <w:rFonts w:ascii="宋体" w:hAnsi="宋体" w:cs="宋体"/>
          <w:color w:val="auto"/>
          <w:sz w:val="28"/>
          <w:szCs w:val="28"/>
        </w:rPr>
        <w:t>520</w:t>
      </w:r>
      <w:r>
        <w:rPr>
          <w:rFonts w:hint="eastAsia" w:ascii="宋体" w:hAnsi="宋体" w:cs="宋体"/>
          <w:color w:val="auto"/>
          <w:sz w:val="28"/>
          <w:szCs w:val="28"/>
        </w:rPr>
        <w:t>人，较上年增加2</w:t>
      </w:r>
      <w:r>
        <w:rPr>
          <w:rFonts w:ascii="宋体" w:hAnsi="宋体" w:cs="宋体"/>
          <w:color w:val="auto"/>
          <w:sz w:val="28"/>
          <w:szCs w:val="28"/>
        </w:rPr>
        <w:t>47</w:t>
      </w:r>
      <w:r>
        <w:rPr>
          <w:rFonts w:hint="eastAsia" w:ascii="宋体" w:hAnsi="宋体" w:cs="宋体"/>
          <w:color w:val="auto"/>
          <w:sz w:val="28"/>
          <w:szCs w:val="28"/>
        </w:rPr>
        <w:t>人；</w:t>
      </w:r>
      <w:r>
        <w:rPr>
          <w:rFonts w:hint="eastAsia" w:ascii="宋体" w:hAnsi="宋体" w:cs="宋体"/>
          <w:color w:val="000000"/>
          <w:sz w:val="28"/>
          <w:szCs w:val="28"/>
        </w:rPr>
        <w:t>毕业学生371人，较上年增加204人；在校生</w:t>
      </w:r>
      <w:r>
        <w:rPr>
          <w:rFonts w:hint="eastAsia" w:ascii="宋体" w:hAnsi="宋体" w:cs="宋体"/>
          <w:color w:val="000000"/>
          <w:sz w:val="28"/>
          <w:szCs w:val="28"/>
          <w:lang w:val="en-US" w:eastAsia="zh-CN"/>
        </w:rPr>
        <w:t>773</w:t>
      </w:r>
      <w:r>
        <w:rPr>
          <w:rFonts w:hint="eastAsia" w:ascii="宋体" w:hAnsi="宋体" w:cs="宋体"/>
          <w:color w:val="000000"/>
          <w:sz w:val="28"/>
          <w:szCs w:val="28"/>
        </w:rPr>
        <w:t>人，因当年毕业人数较多，较上年减少90人。学生规模情况变化见表1-1：</w:t>
      </w:r>
    </w:p>
    <w:p>
      <w:pPr>
        <w:spacing w:line="360" w:lineRule="auto"/>
        <w:jc w:val="center"/>
        <w:rPr>
          <w:rFonts w:ascii="宋体" w:hAnsi="宋体" w:cs="宋体"/>
          <w:color w:val="000000"/>
          <w:sz w:val="28"/>
          <w:szCs w:val="28"/>
        </w:rPr>
      </w:pPr>
      <w:r>
        <w:rPr>
          <w:rFonts w:hint="eastAsia" w:ascii="宋体" w:hAnsi="宋体"/>
          <w:b/>
          <w:sz w:val="28"/>
          <w:szCs w:val="28"/>
        </w:rPr>
        <w:t>表1-1  2018-2019学生规模数据变化对比</w:t>
      </w:r>
    </w:p>
    <w:tbl>
      <w:tblPr>
        <w:tblStyle w:val="11"/>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021"/>
        <w:gridCol w:w="2021"/>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6"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指标</w:t>
            </w:r>
          </w:p>
        </w:tc>
        <w:tc>
          <w:tcPr>
            <w:tcW w:w="2021"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2018年</w:t>
            </w:r>
          </w:p>
        </w:tc>
        <w:tc>
          <w:tcPr>
            <w:tcW w:w="2021"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2019年</w:t>
            </w:r>
          </w:p>
        </w:tc>
        <w:tc>
          <w:tcPr>
            <w:tcW w:w="2042"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jc w:val="center"/>
              <w:rPr>
                <w:rFonts w:ascii="宋体" w:hAnsi="宋体"/>
                <w:b/>
                <w:color w:val="FFFFFF" w:themeColor="background1"/>
                <w:sz w:val="24"/>
                <w14:textFill>
                  <w14:solidFill>
                    <w14:schemeClr w14:val="bg1"/>
                  </w14:solidFill>
                </w14:textFill>
              </w:rPr>
            </w:pPr>
            <w:r>
              <w:rPr>
                <w:rFonts w:hint="eastAsia"/>
                <w:b/>
                <w:color w:val="FFFFFF" w:themeColor="background1"/>
                <w:sz w:val="24"/>
                <w14:textFill>
                  <w14:solidFill>
                    <w14:schemeClr w14:val="bg1"/>
                  </w14:solidFill>
                </w14:textFill>
              </w:rPr>
              <w:t>增减率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宋体" w:hAnsi="宋体" w:cs="宋体"/>
                <w:color w:val="000000"/>
                <w:sz w:val="24"/>
              </w:rPr>
            </w:pPr>
            <w:r>
              <w:rPr>
                <w:rFonts w:hint="eastAsia"/>
                <w:color w:val="000000"/>
                <w:sz w:val="24"/>
              </w:rPr>
              <w:t>在校生数</w:t>
            </w:r>
          </w:p>
        </w:tc>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olor w:val="000000"/>
                <w:sz w:val="24"/>
              </w:rPr>
            </w:pPr>
            <w:r>
              <w:rPr>
                <w:rFonts w:hint="eastAsia" w:ascii="宋体" w:hAnsi="宋体"/>
                <w:color w:val="000000"/>
                <w:sz w:val="24"/>
              </w:rPr>
              <w:t>978</w:t>
            </w:r>
          </w:p>
        </w:tc>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default" w:ascii="宋体" w:hAnsi="宋体" w:eastAsia="宋体"/>
                <w:color w:val="000000"/>
                <w:sz w:val="24"/>
                <w:lang w:val="en-US" w:eastAsia="zh-CN"/>
              </w:rPr>
            </w:pPr>
            <w:r>
              <w:rPr>
                <w:rFonts w:hint="eastAsia" w:ascii="宋体" w:hAnsi="宋体"/>
                <w:color w:val="000000"/>
                <w:sz w:val="24"/>
                <w:lang w:val="en-US" w:eastAsia="zh-CN"/>
              </w:rPr>
              <w:t>773</w:t>
            </w:r>
          </w:p>
        </w:tc>
        <w:tc>
          <w:tcPr>
            <w:tcW w:w="204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宋体" w:hAnsi="宋体"/>
                <w:color w:val="000000"/>
                <w:sz w:val="24"/>
              </w:rPr>
            </w:pPr>
            <w:r>
              <w:rPr>
                <w:rFonts w:ascii="宋体" w:hAnsi="宋体"/>
                <w:color w:val="000000"/>
                <w:sz w:val="24"/>
              </w:rPr>
              <w:t>-</w:t>
            </w:r>
            <w:r>
              <w:rPr>
                <w:rFonts w:hint="eastAsia" w:ascii="宋体" w:hAnsi="宋体"/>
                <w:color w:val="000000"/>
                <w:sz w:val="24"/>
                <w:lang w:val="en-US" w:eastAsia="zh-CN"/>
              </w:rPr>
              <w:t>20.96</w:t>
            </w:r>
            <w:r>
              <w:rPr>
                <w:rFonts w:ascii="宋体" w:hAnsi="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宋体" w:hAnsi="宋体" w:cs="宋体"/>
                <w:color w:val="000000"/>
                <w:sz w:val="24"/>
              </w:rPr>
            </w:pPr>
            <w:r>
              <w:rPr>
                <w:rFonts w:hint="eastAsia"/>
                <w:color w:val="000000"/>
                <w:sz w:val="24"/>
              </w:rPr>
              <w:t>毕业生数</w:t>
            </w:r>
          </w:p>
        </w:tc>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olor w:val="000000"/>
                <w:sz w:val="24"/>
              </w:rPr>
            </w:pPr>
            <w:r>
              <w:rPr>
                <w:rFonts w:hint="eastAsia" w:ascii="宋体" w:hAnsi="宋体"/>
                <w:color w:val="000000"/>
                <w:sz w:val="24"/>
              </w:rPr>
              <w:t>167</w:t>
            </w:r>
          </w:p>
        </w:tc>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olor w:val="000000"/>
                <w:sz w:val="24"/>
              </w:rPr>
            </w:pPr>
            <w:r>
              <w:rPr>
                <w:rFonts w:hint="eastAsia" w:ascii="宋体" w:hAnsi="宋体"/>
                <w:color w:val="000000"/>
                <w:sz w:val="24"/>
              </w:rPr>
              <w:t>371</w:t>
            </w:r>
          </w:p>
        </w:tc>
        <w:tc>
          <w:tcPr>
            <w:tcW w:w="204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宋体" w:hAnsi="宋体"/>
                <w:color w:val="000000"/>
                <w:sz w:val="24"/>
              </w:rPr>
            </w:pPr>
            <w:r>
              <w:rPr>
                <w:rFonts w:hint="eastAsia" w:ascii="宋体" w:hAnsi="宋体"/>
                <w:color w:val="000000"/>
                <w:sz w:val="24"/>
              </w:rPr>
              <w:t>122</w:t>
            </w:r>
            <w:r>
              <w:rPr>
                <w:rFonts w:ascii="宋体" w:hAnsi="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宋体" w:hAnsi="宋体" w:cs="宋体"/>
                <w:color w:val="000000"/>
                <w:sz w:val="24"/>
              </w:rPr>
            </w:pPr>
            <w:r>
              <w:rPr>
                <w:rFonts w:hint="eastAsia"/>
                <w:color w:val="000000"/>
                <w:sz w:val="24"/>
              </w:rPr>
              <w:t>当年招生总数</w:t>
            </w:r>
          </w:p>
        </w:tc>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olor w:val="000000"/>
                <w:sz w:val="24"/>
              </w:rPr>
            </w:pPr>
            <w:r>
              <w:rPr>
                <w:rFonts w:hint="eastAsia" w:ascii="宋体" w:hAnsi="宋体"/>
                <w:color w:val="000000"/>
                <w:sz w:val="24"/>
              </w:rPr>
              <w:t>273</w:t>
            </w:r>
          </w:p>
        </w:tc>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olor w:val="FF0000"/>
                <w:sz w:val="24"/>
              </w:rPr>
            </w:pPr>
            <w:r>
              <w:rPr>
                <w:rFonts w:hint="eastAsia" w:ascii="宋体" w:hAnsi="宋体"/>
                <w:color w:val="auto"/>
                <w:sz w:val="24"/>
              </w:rPr>
              <w:t>5</w:t>
            </w:r>
            <w:r>
              <w:rPr>
                <w:rFonts w:ascii="宋体" w:hAnsi="宋体"/>
                <w:color w:val="auto"/>
                <w:sz w:val="24"/>
              </w:rPr>
              <w:t>20</w:t>
            </w:r>
          </w:p>
        </w:tc>
        <w:tc>
          <w:tcPr>
            <w:tcW w:w="204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宋体" w:hAnsi="宋体"/>
                <w:color w:val="000000"/>
                <w:sz w:val="24"/>
              </w:rPr>
            </w:pPr>
            <w:r>
              <w:rPr>
                <w:rFonts w:hint="eastAsia" w:ascii="宋体" w:hAnsi="宋体"/>
                <w:color w:val="000000"/>
                <w:sz w:val="24"/>
              </w:rPr>
              <w:t>86.45</w:t>
            </w:r>
            <w:r>
              <w:rPr>
                <w:rFonts w:ascii="宋体" w:hAnsi="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rPr>
            </w:pPr>
            <w:r>
              <w:rPr>
                <w:rFonts w:hint="eastAsia"/>
                <w:color w:val="000000"/>
                <w:sz w:val="24"/>
              </w:rPr>
              <w:t>三年巩固率</w:t>
            </w:r>
          </w:p>
        </w:tc>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olor w:val="000000"/>
                <w:sz w:val="24"/>
              </w:rPr>
            </w:pPr>
            <w:r>
              <w:rPr>
                <w:rFonts w:hint="eastAsia" w:ascii="宋体" w:hAnsi="宋体"/>
                <w:color w:val="000000"/>
                <w:sz w:val="24"/>
              </w:rPr>
              <w:t>98.66%</w:t>
            </w:r>
          </w:p>
        </w:tc>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olor w:val="000000"/>
                <w:sz w:val="24"/>
              </w:rPr>
            </w:pPr>
            <w:r>
              <w:rPr>
                <w:rFonts w:hint="eastAsia" w:ascii="宋体" w:hAnsi="宋体"/>
                <w:color w:val="000000"/>
                <w:sz w:val="24"/>
              </w:rPr>
              <w:t>95.38%</w:t>
            </w:r>
          </w:p>
        </w:tc>
        <w:tc>
          <w:tcPr>
            <w:tcW w:w="204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宋体" w:hAnsi="宋体"/>
                <w:color w:val="000000"/>
                <w:sz w:val="24"/>
              </w:rPr>
            </w:pPr>
            <w:r>
              <w:rPr>
                <w:rFonts w:hint="eastAsia" w:ascii="宋体" w:hAnsi="宋体"/>
                <w:color w:val="000000"/>
                <w:sz w:val="24"/>
              </w:rPr>
              <w:t>-3.28%</w:t>
            </w:r>
          </w:p>
        </w:tc>
      </w:tr>
    </w:tbl>
    <w:p>
      <w:pPr>
        <w:spacing w:line="360" w:lineRule="auto"/>
        <w:jc w:val="center"/>
        <w:rPr>
          <w:rFonts w:ascii="宋体" w:hAnsi="宋体"/>
          <w:color w:val="000000"/>
          <w:sz w:val="28"/>
          <w:szCs w:val="28"/>
        </w:rPr>
      </w:pPr>
      <w:r>
        <w:rPr>
          <w:rFonts w:hint="eastAsia" w:ascii="宋体" w:hAnsi="宋体"/>
          <w:color w:val="000000"/>
          <w:sz w:val="28"/>
          <w:szCs w:val="28"/>
        </w:rPr>
        <w:drawing>
          <wp:inline distT="0" distB="0" distL="0" distR="0">
            <wp:extent cx="3733165" cy="2440940"/>
            <wp:effectExtent l="0" t="0" r="635" b="1651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line="360" w:lineRule="auto"/>
        <w:jc w:val="center"/>
        <w:rPr>
          <w:rFonts w:ascii="宋体" w:hAnsi="宋体"/>
          <w:b/>
          <w:sz w:val="28"/>
          <w:szCs w:val="28"/>
        </w:rPr>
      </w:pPr>
      <w:r>
        <w:rPr>
          <w:rFonts w:hint="eastAsia" w:ascii="宋体" w:hAnsi="宋体"/>
          <w:b/>
          <w:sz w:val="28"/>
          <w:szCs w:val="28"/>
        </w:rPr>
        <w:t>图1-1  201</w:t>
      </w:r>
      <w:r>
        <w:rPr>
          <w:rFonts w:hint="eastAsia" w:ascii="宋体" w:hAnsi="宋体"/>
          <w:b/>
          <w:sz w:val="28"/>
          <w:szCs w:val="28"/>
          <w:lang w:val="en-US" w:eastAsia="zh-CN"/>
        </w:rPr>
        <w:t>8</w:t>
      </w:r>
      <w:r>
        <w:rPr>
          <w:rFonts w:hint="eastAsia" w:ascii="宋体" w:hAnsi="宋体"/>
          <w:b/>
          <w:sz w:val="28"/>
          <w:szCs w:val="28"/>
        </w:rPr>
        <w:t>-201</w:t>
      </w:r>
      <w:r>
        <w:rPr>
          <w:rFonts w:hint="eastAsia" w:ascii="宋体" w:hAnsi="宋体"/>
          <w:b/>
          <w:sz w:val="28"/>
          <w:szCs w:val="28"/>
          <w:lang w:val="en-US" w:eastAsia="zh-CN"/>
        </w:rPr>
        <w:t>9</w:t>
      </w:r>
      <w:r>
        <w:rPr>
          <w:rFonts w:hint="eastAsia" w:ascii="宋体" w:hAnsi="宋体"/>
          <w:b/>
          <w:sz w:val="28"/>
          <w:szCs w:val="28"/>
        </w:rPr>
        <w:t>年学生规模变化情况</w:t>
      </w:r>
    </w:p>
    <w:p/>
    <w:p>
      <w:pPr>
        <w:pStyle w:val="3"/>
        <w:ind w:firstLine="562"/>
      </w:pPr>
      <w:bookmarkStart w:id="12" w:name="_Toc27411"/>
      <w:bookmarkStart w:id="13" w:name="_Toc531602425"/>
      <w:bookmarkStart w:id="14" w:name="_Toc531679148"/>
      <w:bookmarkStart w:id="15" w:name="_Toc531602773"/>
      <w:r>
        <w:rPr>
          <w:rFonts w:ascii="黑体" w:hAnsi="黑体"/>
        </w:rPr>
        <w:t>1.3</w:t>
      </w:r>
      <w:r>
        <w:t>教师队伍</w:t>
      </w:r>
      <w:bookmarkEnd w:id="12"/>
      <w:r>
        <w:rPr>
          <w:rFonts w:hint="eastAsia"/>
        </w:rPr>
        <w:t>：</w:t>
      </w:r>
      <w:bookmarkEnd w:id="13"/>
      <w:bookmarkEnd w:id="14"/>
      <w:bookmarkEnd w:id="15"/>
      <w:r>
        <w:rPr>
          <w:rFonts w:hint="eastAsia"/>
        </w:rPr>
        <w:t>充实教师队伍 结构比例均衡</w:t>
      </w:r>
    </w:p>
    <w:p>
      <w:pPr>
        <w:ind w:firstLine="560" w:firstLineChars="200"/>
        <w:rPr>
          <w:rFonts w:ascii="宋体" w:hAnsi="宋体" w:cs="宋体"/>
          <w:color w:val="000000"/>
          <w:sz w:val="28"/>
          <w:szCs w:val="28"/>
        </w:rPr>
      </w:pPr>
      <w:r>
        <w:rPr>
          <w:rFonts w:hint="eastAsia" w:ascii="宋体" w:hAnsi="宋体" w:cs="宋体"/>
          <w:color w:val="000000"/>
          <w:sz w:val="28"/>
          <w:szCs w:val="28"/>
        </w:rPr>
        <w:t>学校大力打造“双师型”专兼职师资队伍，通过引进既有较高理论水平又有丰富实践经验的专业技术人员、加大现有教师送培、校内以老带新等方式，着力打造一支“能工巧匠”型的“双师型”专兼职师资队伍。</w:t>
      </w:r>
    </w:p>
    <w:p>
      <w:pPr>
        <w:ind w:firstLine="560" w:firstLineChars="200"/>
        <w:rPr>
          <w:rFonts w:ascii="宋体" w:hAnsi="宋体" w:cs="宋体"/>
          <w:color w:val="000000"/>
          <w:sz w:val="28"/>
          <w:szCs w:val="28"/>
        </w:rPr>
      </w:pPr>
      <w:r>
        <w:rPr>
          <w:rFonts w:hint="eastAsia" w:ascii="宋体" w:hAnsi="宋体" w:cs="宋体"/>
          <w:color w:val="000000"/>
          <w:sz w:val="28"/>
          <w:szCs w:val="28"/>
        </w:rPr>
        <w:t>学校现有专任教师113人，其中公共基础课专任教师35人，专业课专任教师77人，生师比约8:1；专任教师中双师型教师47人，占专任教师比例41.59%；行业兼职教师10人，占专任教师总数12.99%。与上年相比，学校专任教师总数增加24人，生师比进一步优化。2018-2019学年教师队伍数据具体变化见表1-2。</w:t>
      </w:r>
    </w:p>
    <w:p>
      <w:pPr>
        <w:jc w:val="center"/>
        <w:rPr>
          <w:rFonts w:ascii="宋体" w:hAnsi="宋体" w:cs="宋体"/>
          <w:b/>
          <w:bCs/>
          <w:color w:val="000000"/>
          <w:sz w:val="28"/>
          <w:szCs w:val="28"/>
        </w:rPr>
      </w:pPr>
      <w:r>
        <w:rPr>
          <w:rFonts w:hint="eastAsia" w:ascii="宋体" w:hAnsi="宋体" w:cs="宋体"/>
          <w:b/>
          <w:bCs/>
          <w:color w:val="000000"/>
          <w:sz w:val="28"/>
          <w:szCs w:val="28"/>
        </w:rPr>
        <w:t>表1-2 2018-2019年教师队伍数据对比情况</w:t>
      </w:r>
    </w:p>
    <w:tbl>
      <w:tblPr>
        <w:tblStyle w:val="11"/>
        <w:tblW w:w="9101" w:type="dxa"/>
        <w:jc w:val="center"/>
        <w:tblLayout w:type="fixed"/>
        <w:tblCellMar>
          <w:top w:w="0" w:type="dxa"/>
          <w:left w:w="108" w:type="dxa"/>
          <w:bottom w:w="0" w:type="dxa"/>
          <w:right w:w="108" w:type="dxa"/>
        </w:tblCellMar>
      </w:tblPr>
      <w:tblGrid>
        <w:gridCol w:w="915"/>
        <w:gridCol w:w="885"/>
        <w:gridCol w:w="855"/>
        <w:gridCol w:w="645"/>
        <w:gridCol w:w="900"/>
        <w:gridCol w:w="645"/>
        <w:gridCol w:w="855"/>
        <w:gridCol w:w="870"/>
        <w:gridCol w:w="885"/>
        <w:gridCol w:w="765"/>
        <w:gridCol w:w="881"/>
      </w:tblGrid>
      <w:tr>
        <w:tblPrEx>
          <w:tblCellMar>
            <w:top w:w="0" w:type="dxa"/>
            <w:left w:w="108" w:type="dxa"/>
            <w:bottom w:w="0" w:type="dxa"/>
            <w:right w:w="108" w:type="dxa"/>
          </w:tblCellMar>
        </w:tblPrEx>
        <w:trPr>
          <w:trHeight w:val="900" w:hRule="atLeast"/>
          <w:jc w:val="center"/>
        </w:trPr>
        <w:tc>
          <w:tcPr>
            <w:tcW w:w="915"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spacing w:line="360" w:lineRule="exact"/>
              <w:jc w:val="center"/>
              <w:rPr>
                <w:rFonts w:ascii="宋体" w:hAnsi="宋体"/>
                <w:b/>
                <w:color w:val="FFFFFF" w:themeColor="background1"/>
                <w:kern w:val="0"/>
                <w:szCs w:val="21"/>
                <w14:textFill>
                  <w14:solidFill>
                    <w14:schemeClr w14:val="bg1"/>
                  </w14:solidFill>
                </w14:textFill>
              </w:rPr>
            </w:pPr>
            <w:r>
              <w:rPr>
                <w:rFonts w:hint="eastAsia" w:ascii="宋体" w:hAnsi="宋体"/>
                <w:b/>
                <w:color w:val="FFFFFF" w:themeColor="background1"/>
                <w:kern w:val="0"/>
                <w:szCs w:val="21"/>
                <w14:textFill>
                  <w14:solidFill>
                    <w14:schemeClr w14:val="bg1"/>
                  </w14:solidFill>
                </w14:textFill>
              </w:rPr>
              <w:t>年度</w:t>
            </w:r>
          </w:p>
        </w:tc>
        <w:tc>
          <w:tcPr>
            <w:tcW w:w="885"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spacing w:line="360" w:lineRule="exact"/>
              <w:jc w:val="center"/>
              <w:rPr>
                <w:rFonts w:ascii="宋体" w:hAnsi="宋体"/>
                <w:b/>
                <w:color w:val="FFFFFF" w:themeColor="background1"/>
                <w:kern w:val="0"/>
                <w:szCs w:val="21"/>
                <w14:textFill>
                  <w14:solidFill>
                    <w14:schemeClr w14:val="bg1"/>
                  </w14:solidFill>
                </w14:textFill>
              </w:rPr>
            </w:pPr>
            <w:r>
              <w:rPr>
                <w:rFonts w:hint="eastAsia" w:ascii="宋体" w:hAnsi="宋体"/>
                <w:b/>
                <w:color w:val="FFFFFF" w:themeColor="background1"/>
                <w:kern w:val="0"/>
                <w:szCs w:val="21"/>
                <w14:textFill>
                  <w14:solidFill>
                    <w14:schemeClr w14:val="bg1"/>
                  </w14:solidFill>
                </w14:textFill>
              </w:rPr>
              <w:t>专任教师数</w:t>
            </w:r>
          </w:p>
        </w:tc>
        <w:tc>
          <w:tcPr>
            <w:tcW w:w="855"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spacing w:line="360" w:lineRule="exact"/>
              <w:jc w:val="center"/>
              <w:rPr>
                <w:rFonts w:ascii="宋体" w:hAnsi="宋体"/>
                <w:b/>
                <w:color w:val="FFFFFF" w:themeColor="background1"/>
                <w:kern w:val="0"/>
                <w:szCs w:val="21"/>
                <w14:textFill>
                  <w14:solidFill>
                    <w14:schemeClr w14:val="bg1"/>
                  </w14:solidFill>
                </w14:textFill>
              </w:rPr>
            </w:pPr>
            <w:r>
              <w:rPr>
                <w:rFonts w:hint="eastAsia" w:ascii="宋体" w:hAnsi="宋体"/>
                <w:b/>
                <w:color w:val="FFFFFF" w:themeColor="background1"/>
                <w:kern w:val="0"/>
                <w:szCs w:val="21"/>
                <w14:textFill>
                  <w14:solidFill>
                    <w14:schemeClr w14:val="bg1"/>
                  </w14:solidFill>
                </w14:textFill>
              </w:rPr>
              <w:t>生师比</w:t>
            </w:r>
          </w:p>
        </w:tc>
        <w:tc>
          <w:tcPr>
            <w:tcW w:w="1545" w:type="dxa"/>
            <w:gridSpan w:val="2"/>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spacing w:line="360" w:lineRule="exact"/>
              <w:jc w:val="center"/>
              <w:rPr>
                <w:rFonts w:ascii="宋体" w:hAnsi="宋体"/>
                <w:b/>
                <w:color w:val="FFFFFF" w:themeColor="background1"/>
                <w:kern w:val="0"/>
                <w:szCs w:val="21"/>
                <w14:textFill>
                  <w14:solidFill>
                    <w14:schemeClr w14:val="bg1"/>
                  </w14:solidFill>
                </w14:textFill>
              </w:rPr>
            </w:pPr>
            <w:r>
              <w:rPr>
                <w:rFonts w:hint="eastAsia" w:ascii="宋体" w:hAnsi="宋体"/>
                <w:b/>
                <w:color w:val="FFFFFF" w:themeColor="background1"/>
                <w:kern w:val="0"/>
                <w:szCs w:val="21"/>
                <w14:textFill>
                  <w14:solidFill>
                    <w14:schemeClr w14:val="bg1"/>
                  </w14:solidFill>
                </w14:textFill>
              </w:rPr>
              <w:t>本科学历人数及比例</w:t>
            </w:r>
          </w:p>
        </w:tc>
        <w:tc>
          <w:tcPr>
            <w:tcW w:w="1500" w:type="dxa"/>
            <w:gridSpan w:val="2"/>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spacing w:line="360" w:lineRule="exact"/>
              <w:jc w:val="center"/>
              <w:rPr>
                <w:rFonts w:ascii="宋体" w:hAnsi="宋体"/>
                <w:b/>
                <w:color w:val="FFFFFF" w:themeColor="background1"/>
                <w:kern w:val="0"/>
                <w:szCs w:val="21"/>
                <w14:textFill>
                  <w14:solidFill>
                    <w14:schemeClr w14:val="bg1"/>
                  </w14:solidFill>
                </w14:textFill>
              </w:rPr>
            </w:pPr>
            <w:r>
              <w:rPr>
                <w:rFonts w:hint="eastAsia" w:ascii="宋体" w:hAnsi="宋体"/>
                <w:b/>
                <w:color w:val="FFFFFF" w:themeColor="background1"/>
                <w:kern w:val="0"/>
                <w:szCs w:val="21"/>
                <w14:textFill>
                  <w14:solidFill>
                    <w14:schemeClr w14:val="bg1"/>
                  </w14:solidFill>
                </w14:textFill>
              </w:rPr>
              <w:t>硕士学历人数及比例</w:t>
            </w:r>
          </w:p>
        </w:tc>
        <w:tc>
          <w:tcPr>
            <w:tcW w:w="1755" w:type="dxa"/>
            <w:gridSpan w:val="2"/>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spacing w:line="360" w:lineRule="exact"/>
              <w:jc w:val="center"/>
              <w:rPr>
                <w:rFonts w:ascii="宋体" w:hAnsi="宋体"/>
                <w:b/>
                <w:color w:val="FFFFFF" w:themeColor="background1"/>
                <w:kern w:val="0"/>
                <w:szCs w:val="21"/>
                <w14:textFill>
                  <w14:solidFill>
                    <w14:schemeClr w14:val="bg1"/>
                  </w14:solidFill>
                </w14:textFill>
              </w:rPr>
            </w:pPr>
            <w:r>
              <w:rPr>
                <w:rFonts w:hint="eastAsia" w:ascii="宋体" w:hAnsi="宋体"/>
                <w:b/>
                <w:color w:val="FFFFFF" w:themeColor="background1"/>
                <w:kern w:val="0"/>
                <w:szCs w:val="21"/>
                <w14:textFill>
                  <w14:solidFill>
                    <w14:schemeClr w14:val="bg1"/>
                  </w14:solidFill>
                </w14:textFill>
              </w:rPr>
              <w:t>高级职称人数及比例</w:t>
            </w:r>
          </w:p>
        </w:tc>
        <w:tc>
          <w:tcPr>
            <w:tcW w:w="1646" w:type="dxa"/>
            <w:gridSpan w:val="2"/>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spacing w:line="360" w:lineRule="exact"/>
              <w:jc w:val="center"/>
              <w:rPr>
                <w:rFonts w:ascii="宋体" w:hAnsi="宋体"/>
                <w:b/>
                <w:color w:val="FFFFFF" w:themeColor="background1"/>
                <w:kern w:val="0"/>
                <w:szCs w:val="21"/>
                <w14:textFill>
                  <w14:solidFill>
                    <w14:schemeClr w14:val="bg1"/>
                  </w14:solidFill>
                </w14:textFill>
              </w:rPr>
            </w:pPr>
            <w:r>
              <w:rPr>
                <w:rFonts w:hint="eastAsia" w:ascii="宋体" w:hAnsi="宋体"/>
                <w:b/>
                <w:color w:val="FFFFFF" w:themeColor="background1"/>
                <w:kern w:val="0"/>
                <w:szCs w:val="21"/>
                <w14:textFill>
                  <w14:solidFill>
                    <w14:schemeClr w14:val="bg1"/>
                  </w14:solidFill>
                </w14:textFill>
              </w:rPr>
              <w:t>“双师型”人数及比例</w:t>
            </w:r>
          </w:p>
        </w:tc>
      </w:tr>
      <w:tr>
        <w:tblPrEx>
          <w:tblCellMar>
            <w:top w:w="0" w:type="dxa"/>
            <w:left w:w="108" w:type="dxa"/>
            <w:bottom w:w="0" w:type="dxa"/>
            <w:right w:w="108" w:type="dxa"/>
          </w:tblCellMar>
        </w:tblPrEx>
        <w:trPr>
          <w:trHeight w:val="459" w:hRule="atLeast"/>
          <w:jc w:val="center"/>
        </w:trPr>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2018年</w:t>
            </w:r>
          </w:p>
        </w:tc>
        <w:tc>
          <w:tcPr>
            <w:tcW w:w="8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96</w:t>
            </w:r>
          </w:p>
        </w:tc>
        <w:tc>
          <w:tcPr>
            <w:tcW w:w="8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10:1</w:t>
            </w:r>
          </w:p>
        </w:tc>
        <w:tc>
          <w:tcPr>
            <w:tcW w:w="6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87</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91%</w:t>
            </w:r>
          </w:p>
        </w:tc>
        <w:tc>
          <w:tcPr>
            <w:tcW w:w="6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8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8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kern w:val="0"/>
                <w:szCs w:val="21"/>
              </w:rPr>
            </w:pPr>
            <w:r>
              <w:rPr>
                <w:rFonts w:hint="eastAsia" w:ascii="宋体" w:hAnsi="宋体" w:cs="宋体"/>
                <w:color w:val="000000"/>
                <w:kern w:val="0"/>
                <w:szCs w:val="21"/>
              </w:rPr>
              <w:t>44</w:t>
            </w:r>
          </w:p>
        </w:tc>
        <w:tc>
          <w:tcPr>
            <w:tcW w:w="8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kern w:val="0"/>
                <w:szCs w:val="21"/>
              </w:rPr>
            </w:pPr>
            <w:r>
              <w:rPr>
                <w:rFonts w:hint="eastAsia" w:ascii="宋体" w:hAnsi="宋体" w:cs="宋体"/>
                <w:color w:val="000000"/>
                <w:kern w:val="0"/>
                <w:szCs w:val="21"/>
              </w:rPr>
              <w:t>46%</w:t>
            </w:r>
          </w:p>
        </w:tc>
        <w:tc>
          <w:tcPr>
            <w:tcW w:w="7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47</w:t>
            </w:r>
          </w:p>
        </w:tc>
        <w:tc>
          <w:tcPr>
            <w:tcW w:w="8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49%</w:t>
            </w:r>
          </w:p>
        </w:tc>
      </w:tr>
      <w:tr>
        <w:tblPrEx>
          <w:tblCellMar>
            <w:top w:w="0" w:type="dxa"/>
            <w:left w:w="108" w:type="dxa"/>
            <w:bottom w:w="0" w:type="dxa"/>
            <w:right w:w="108" w:type="dxa"/>
          </w:tblCellMar>
        </w:tblPrEx>
        <w:trPr>
          <w:trHeight w:val="455" w:hRule="atLeast"/>
          <w:jc w:val="center"/>
        </w:trPr>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2019年</w:t>
            </w:r>
          </w:p>
        </w:tc>
        <w:tc>
          <w:tcPr>
            <w:tcW w:w="8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113</w:t>
            </w:r>
          </w:p>
        </w:tc>
        <w:tc>
          <w:tcPr>
            <w:tcW w:w="8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lang w:val="en-US" w:eastAsia="zh-CN"/>
              </w:rPr>
              <w:t>7</w:t>
            </w:r>
            <w:r>
              <w:rPr>
                <w:rFonts w:hint="eastAsia" w:ascii="宋体" w:hAnsi="宋体" w:cs="宋体"/>
                <w:color w:val="000000"/>
                <w:kern w:val="0"/>
                <w:szCs w:val="21"/>
              </w:rPr>
              <w:t>:1</w:t>
            </w:r>
          </w:p>
        </w:tc>
        <w:tc>
          <w:tcPr>
            <w:tcW w:w="6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111</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98%</w:t>
            </w:r>
          </w:p>
        </w:tc>
        <w:tc>
          <w:tcPr>
            <w:tcW w:w="6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1</w:t>
            </w:r>
          </w:p>
        </w:tc>
        <w:tc>
          <w:tcPr>
            <w:tcW w:w="8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0.9%</w:t>
            </w:r>
          </w:p>
        </w:tc>
        <w:tc>
          <w:tcPr>
            <w:tcW w:w="8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kern w:val="0"/>
                <w:szCs w:val="21"/>
              </w:rPr>
            </w:pPr>
            <w:r>
              <w:rPr>
                <w:rFonts w:hint="eastAsia" w:ascii="宋体" w:hAnsi="宋体" w:cs="宋体"/>
                <w:color w:val="000000"/>
                <w:kern w:val="0"/>
                <w:szCs w:val="21"/>
              </w:rPr>
              <w:t>42</w:t>
            </w:r>
          </w:p>
        </w:tc>
        <w:tc>
          <w:tcPr>
            <w:tcW w:w="8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kern w:val="0"/>
                <w:szCs w:val="21"/>
              </w:rPr>
            </w:pPr>
            <w:r>
              <w:rPr>
                <w:rFonts w:hint="eastAsia" w:ascii="宋体" w:hAnsi="宋体" w:cs="宋体"/>
                <w:color w:val="000000"/>
                <w:kern w:val="0"/>
                <w:szCs w:val="21"/>
              </w:rPr>
              <w:t>37%</w:t>
            </w:r>
          </w:p>
        </w:tc>
        <w:tc>
          <w:tcPr>
            <w:tcW w:w="7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47</w:t>
            </w:r>
          </w:p>
        </w:tc>
        <w:tc>
          <w:tcPr>
            <w:tcW w:w="8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42%</w:t>
            </w:r>
          </w:p>
        </w:tc>
      </w:tr>
      <w:tr>
        <w:tblPrEx>
          <w:tblCellMar>
            <w:top w:w="0" w:type="dxa"/>
            <w:left w:w="108" w:type="dxa"/>
            <w:bottom w:w="0" w:type="dxa"/>
            <w:right w:w="108" w:type="dxa"/>
          </w:tblCellMar>
        </w:tblPrEx>
        <w:trPr>
          <w:trHeight w:val="473" w:hRule="atLeast"/>
          <w:jc w:val="center"/>
        </w:trPr>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增减率</w:t>
            </w:r>
          </w:p>
        </w:tc>
        <w:tc>
          <w:tcPr>
            <w:tcW w:w="8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18%</w:t>
            </w:r>
          </w:p>
        </w:tc>
        <w:tc>
          <w:tcPr>
            <w:tcW w:w="8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cs="宋体"/>
                <w:color w:val="000000"/>
                <w:kern w:val="0"/>
                <w:szCs w:val="21"/>
                <w:lang w:val="en-US" w:eastAsia="zh-CN"/>
              </w:rPr>
              <w:t>43</w:t>
            </w:r>
            <w:r>
              <w:rPr>
                <w:rFonts w:hint="eastAsia" w:ascii="宋体" w:hAnsi="宋体" w:cs="宋体"/>
                <w:color w:val="000000"/>
                <w:kern w:val="0"/>
                <w:szCs w:val="21"/>
              </w:rPr>
              <w:t>%</w:t>
            </w:r>
          </w:p>
        </w:tc>
        <w:tc>
          <w:tcPr>
            <w:tcW w:w="6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28%</w:t>
            </w:r>
          </w:p>
        </w:tc>
        <w:tc>
          <w:tcPr>
            <w:tcW w:w="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6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17%</w:t>
            </w:r>
          </w:p>
        </w:tc>
        <w:tc>
          <w:tcPr>
            <w:tcW w:w="8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8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8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kern w:val="0"/>
                <w:szCs w:val="21"/>
              </w:rPr>
            </w:pPr>
            <w:r>
              <w:rPr>
                <w:rFonts w:hint="eastAsia" w:ascii="宋体" w:hAnsi="宋体" w:cs="宋体"/>
                <w:color w:val="000000"/>
                <w:kern w:val="0"/>
                <w:szCs w:val="21"/>
              </w:rPr>
              <w:t>-9%</w:t>
            </w:r>
          </w:p>
        </w:tc>
        <w:tc>
          <w:tcPr>
            <w:tcW w:w="7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持平</w:t>
            </w:r>
          </w:p>
        </w:tc>
        <w:tc>
          <w:tcPr>
            <w:tcW w:w="8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-7%</w:t>
            </w:r>
          </w:p>
        </w:tc>
      </w:tr>
    </w:tbl>
    <w:p>
      <w:r>
        <w:rPr>
          <w:rFonts w:hint="eastAsia"/>
        </w:rPr>
        <w:t xml:space="preserve">   </w:t>
      </w:r>
    </w:p>
    <w:p>
      <w:pPr>
        <w:spacing w:before="158" w:beforeLines="50"/>
        <w:ind w:firstLine="560" w:firstLineChars="200"/>
        <w:rPr>
          <w:rFonts w:ascii="宋体" w:hAnsi="宋体"/>
          <w:b/>
          <w:sz w:val="28"/>
          <w:szCs w:val="28"/>
        </w:rPr>
      </w:pPr>
      <w:r>
        <w:rPr>
          <w:rFonts w:hint="eastAsia" w:ascii="宋体" w:hAnsi="宋体" w:cs="宋体"/>
          <w:color w:val="000000"/>
          <w:sz w:val="28"/>
          <w:szCs w:val="28"/>
        </w:rPr>
        <w:t>专任教师学历以本科为主，占专任教师总数98.23%；教师职称以高级职称为主，占比37.17%；年龄在35岁以下占44.25%，男女结构比例均衡。</w:t>
      </w:r>
    </w:p>
    <w:p>
      <w:pPr>
        <w:spacing w:before="158" w:beforeLines="50"/>
        <w:jc w:val="center"/>
        <w:rPr>
          <w:rFonts w:ascii="宋体" w:hAnsi="宋体"/>
          <w:b/>
          <w:sz w:val="28"/>
          <w:szCs w:val="28"/>
        </w:rPr>
      </w:pPr>
      <w:r>
        <w:rPr>
          <w:rFonts w:ascii="宋体" w:hAnsi="宋体" w:cs="宋体"/>
          <w:color w:val="000000"/>
          <w:sz w:val="28"/>
          <w:szCs w:val="28"/>
        </w:rPr>
        <w:drawing>
          <wp:inline distT="0" distB="0" distL="0" distR="0">
            <wp:extent cx="4743450" cy="1648460"/>
            <wp:effectExtent l="0" t="0" r="0" b="889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before="158" w:beforeLines="50"/>
        <w:jc w:val="center"/>
        <w:rPr>
          <w:rFonts w:ascii="宋体" w:hAnsi="宋体"/>
          <w:b/>
          <w:sz w:val="28"/>
          <w:szCs w:val="28"/>
        </w:rPr>
      </w:pPr>
      <w:r>
        <w:rPr>
          <w:rFonts w:hint="eastAsia" w:ascii="宋体" w:hAnsi="宋体"/>
          <w:b/>
          <w:sz w:val="28"/>
          <w:szCs w:val="28"/>
        </w:rPr>
        <w:t>图1-2  2019年学校专任教师职称结构示意图</w:t>
      </w:r>
    </w:p>
    <w:p>
      <w:pPr>
        <w:spacing w:before="158" w:beforeLines="50"/>
        <w:jc w:val="center"/>
        <w:rPr>
          <w:rFonts w:ascii="宋体" w:hAnsi="宋体"/>
          <w:b/>
          <w:sz w:val="28"/>
          <w:szCs w:val="28"/>
        </w:rPr>
      </w:pPr>
      <w:r>
        <w:rPr>
          <w:rFonts w:hint="eastAsia" w:ascii="宋体" w:hAnsi="宋体"/>
          <w:b/>
          <w:sz w:val="28"/>
          <w:szCs w:val="28"/>
        </w:rPr>
        <w:drawing>
          <wp:inline distT="0" distB="0" distL="114300" distR="114300">
            <wp:extent cx="4414520" cy="2552700"/>
            <wp:effectExtent l="0" t="0" r="5080"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before="158" w:beforeLines="50"/>
        <w:jc w:val="center"/>
        <w:rPr>
          <w:rFonts w:ascii="宋体" w:hAnsi="宋体" w:cs="宋体"/>
          <w:color w:val="000000"/>
          <w:sz w:val="28"/>
          <w:szCs w:val="28"/>
        </w:rPr>
      </w:pPr>
      <w:r>
        <w:rPr>
          <w:rFonts w:hint="eastAsia" w:ascii="宋体" w:hAnsi="宋体"/>
          <w:b/>
          <w:sz w:val="28"/>
          <w:szCs w:val="28"/>
        </w:rPr>
        <w:t>图1-3  2018-2019年学校专任教师年龄结构对比图</w:t>
      </w:r>
    </w:p>
    <w:p/>
    <w:p>
      <w:pPr>
        <w:ind w:firstLine="560" w:firstLineChars="200"/>
        <w:rPr>
          <w:rFonts w:ascii="宋体" w:hAnsi="宋体" w:cs="宋体"/>
          <w:color w:val="000000"/>
          <w:sz w:val="28"/>
          <w:szCs w:val="28"/>
        </w:rPr>
      </w:pPr>
      <w:r>
        <w:rPr>
          <w:rFonts w:hint="eastAsia" w:ascii="宋体" w:hAnsi="宋体" w:cs="宋体"/>
          <w:color w:val="000000"/>
          <w:sz w:val="28"/>
          <w:szCs w:val="28"/>
        </w:rPr>
        <w:t>因校址搬迁，中高职分离，本年度学校师资队伍有较大调整，在2019年引入新教师较多，年青教师占比较上年增长10.92%，未评职称人数占比增加12.75%；受各种条件制约，学校目前较难吸引留住高层次人才，硕士及以上学历教师匮缺。</w:t>
      </w:r>
    </w:p>
    <w:p>
      <w:pPr>
        <w:pStyle w:val="3"/>
        <w:ind w:firstLine="562"/>
      </w:pPr>
      <w:bookmarkStart w:id="16" w:name="_Toc32404"/>
      <w:bookmarkStart w:id="17" w:name="_Toc531602426"/>
      <w:bookmarkStart w:id="18" w:name="_Toc531602774"/>
      <w:bookmarkStart w:id="19" w:name="_Toc531679149"/>
      <w:r>
        <w:rPr>
          <w:rFonts w:ascii="黑体" w:hAnsi="黑体"/>
        </w:rPr>
        <w:t>1.4</w:t>
      </w:r>
      <w:r>
        <w:t>设施设备</w:t>
      </w:r>
      <w:bookmarkEnd w:id="16"/>
      <w:r>
        <w:rPr>
          <w:rFonts w:hint="eastAsia"/>
        </w:rPr>
        <w:t>：加大资产投入 办学条件</w:t>
      </w:r>
      <w:bookmarkEnd w:id="17"/>
      <w:bookmarkEnd w:id="18"/>
      <w:bookmarkEnd w:id="19"/>
      <w:r>
        <w:rPr>
          <w:rFonts w:hint="eastAsia"/>
        </w:rPr>
        <w:t>明显改善</w:t>
      </w:r>
    </w:p>
    <w:p>
      <w:pPr>
        <w:ind w:firstLine="560" w:firstLineChars="200"/>
        <w:rPr>
          <w:rFonts w:ascii="宋体" w:hAnsi="宋体" w:cs="宋体"/>
          <w:color w:val="000000"/>
          <w:sz w:val="28"/>
          <w:szCs w:val="28"/>
        </w:rPr>
      </w:pPr>
      <w:r>
        <w:rPr>
          <w:rFonts w:hint="eastAsia" w:ascii="宋体" w:hAnsi="宋体" w:cs="宋体"/>
          <w:color w:val="000000"/>
          <w:sz w:val="28"/>
          <w:szCs w:val="28"/>
        </w:rPr>
        <w:t>面对分校迁址新局面，学校领导统筹部署，采取两步协同走策略，一是积极主动联系上级主管部门获得经费、政策支持，加大投入，持续改善学校资产、教学、实训实习条件，进一步改善提升学校办学硬件水平；二是强化校企合作，引企入校，深化产教融合，扩大校内外实习基地数量和规模，加大对实训设备</w:t>
      </w:r>
      <w:r>
        <w:rPr>
          <w:rFonts w:hint="eastAsia" w:ascii="宋体" w:hAnsi="宋体" w:cs="宋体"/>
          <w:color w:val="auto"/>
          <w:sz w:val="28"/>
          <w:szCs w:val="28"/>
        </w:rPr>
        <w:t>的</w:t>
      </w:r>
      <w:r>
        <w:rPr>
          <w:rFonts w:hint="eastAsia" w:ascii="宋体" w:hAnsi="宋体" w:cs="宋体"/>
          <w:color w:val="000000"/>
          <w:sz w:val="28"/>
          <w:szCs w:val="28"/>
        </w:rPr>
        <w:t>投入，使学校教学软、硬件进一步满足教学需求。</w:t>
      </w:r>
    </w:p>
    <w:p>
      <w:pPr>
        <w:ind w:firstLine="562" w:firstLineChars="200"/>
        <w:rPr>
          <w:rFonts w:ascii="宋体" w:hAnsi="宋体" w:cs="宋体"/>
          <w:b/>
          <w:bCs/>
          <w:color w:val="000000"/>
          <w:sz w:val="28"/>
          <w:szCs w:val="28"/>
        </w:rPr>
      </w:pPr>
      <w:r>
        <w:rPr>
          <w:rFonts w:hint="eastAsia" w:ascii="宋体" w:hAnsi="宋体" w:cs="宋体"/>
          <w:b/>
          <w:bCs/>
          <w:color w:val="000000"/>
          <w:sz w:val="28"/>
          <w:szCs w:val="28"/>
        </w:rPr>
        <w:t>1.4.1设施设备资产增加 办学条件改善提升</w:t>
      </w:r>
    </w:p>
    <w:p>
      <w:pPr>
        <w:ind w:firstLine="560" w:firstLineChars="200"/>
        <w:rPr>
          <w:rFonts w:ascii="宋体" w:hAnsi="宋体" w:cs="宋体"/>
          <w:color w:val="000000"/>
          <w:sz w:val="28"/>
          <w:szCs w:val="28"/>
        </w:rPr>
      </w:pPr>
      <w:r>
        <w:rPr>
          <w:rFonts w:hint="eastAsia" w:ascii="宋体" w:hAnsi="宋体" w:cs="宋体"/>
          <w:color w:val="000000"/>
          <w:sz w:val="28"/>
          <w:szCs w:val="28"/>
        </w:rPr>
        <w:t>本年度学校加大了设施设备投入力度，新安装平安校园监控摄像头164个；购置计算机228台；新购多媒体设备21套；智慧讲台8套；办公室、教室、实训楼、寝室食堂均实现网络全覆盖；改造运动场6570平米；更新了体育器材和广播设备；添置汽修专业钣金实训室器材及艺术专业让炯实训室器材，教学实训条件</w:t>
      </w:r>
      <w:r>
        <w:rPr>
          <w:rFonts w:hint="eastAsia" w:ascii="宋体" w:hAnsi="宋体" w:cs="宋体"/>
          <w:color w:val="000000"/>
          <w:sz w:val="28"/>
          <w:szCs w:val="28"/>
          <w:lang w:eastAsia="zh-CN"/>
        </w:rPr>
        <w:t>较上年</w:t>
      </w:r>
      <w:r>
        <w:rPr>
          <w:rFonts w:hint="eastAsia" w:ascii="宋体" w:hAnsi="宋体" w:cs="宋体"/>
          <w:color w:val="000000"/>
          <w:sz w:val="28"/>
          <w:szCs w:val="28"/>
        </w:rPr>
        <w:t>有明显改善与提升。</w:t>
      </w:r>
    </w:p>
    <w:p>
      <w:pPr>
        <w:ind w:firstLine="560" w:firstLineChars="200"/>
        <w:rPr>
          <w:rFonts w:ascii="宋体" w:hAnsi="宋体" w:cs="宋体"/>
          <w:color w:val="000000"/>
          <w:sz w:val="28"/>
          <w:szCs w:val="28"/>
        </w:rPr>
      </w:pPr>
      <w:r>
        <w:rPr>
          <w:rFonts w:hint="eastAsia" w:ascii="宋体" w:hAnsi="宋体" w:cs="宋体"/>
          <w:color w:val="000000"/>
          <w:sz w:val="28"/>
          <w:szCs w:val="28"/>
        </w:rPr>
        <w:t>学校现有教学设备资产值2069.93万元，较上年增长410.80万元；实训设备资产值1447.13万元，较上年增长233.25万元；学校同时淘汰了一部分老旧教学实训器材，固定资产总值现为37821.22万元，较上年增长365.78万元；各项生均设施设备资产值较上年有明显提升。</w:t>
      </w:r>
    </w:p>
    <w:p>
      <w:pPr>
        <w:jc w:val="center"/>
        <w:rPr>
          <w:rFonts w:ascii="宋体" w:hAnsi="宋体" w:cs="宋体"/>
          <w:color w:val="000000"/>
          <w:sz w:val="28"/>
          <w:szCs w:val="28"/>
        </w:rPr>
      </w:pPr>
      <w:r>
        <w:rPr>
          <w:rFonts w:hint="eastAsia" w:ascii="宋体" w:hAnsi="宋体" w:cs="宋体"/>
          <w:color w:val="000000"/>
          <w:sz w:val="28"/>
          <w:szCs w:val="28"/>
        </w:rPr>
        <w:drawing>
          <wp:inline distT="0" distB="0" distL="114300" distR="114300">
            <wp:extent cx="3657600" cy="2811145"/>
            <wp:effectExtent l="0" t="0" r="0" b="8255"/>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60" w:lineRule="auto"/>
        <w:jc w:val="center"/>
        <w:rPr>
          <w:rFonts w:ascii="宋体" w:hAnsi="宋体" w:cs="宋体"/>
          <w:color w:val="000000"/>
          <w:sz w:val="28"/>
          <w:szCs w:val="28"/>
        </w:rPr>
      </w:pPr>
      <w:r>
        <w:rPr>
          <w:rFonts w:hint="eastAsia" w:ascii="宋体" w:hAnsi="宋体"/>
          <w:b/>
          <w:sz w:val="28"/>
          <w:szCs w:val="28"/>
        </w:rPr>
        <w:t>图1-</w:t>
      </w:r>
      <w:r>
        <w:rPr>
          <w:rFonts w:hint="eastAsia" w:ascii="宋体" w:hAnsi="宋体"/>
          <w:b/>
          <w:sz w:val="28"/>
          <w:szCs w:val="28"/>
          <w:lang w:val="en-US" w:eastAsia="zh-CN"/>
        </w:rPr>
        <w:t>4</w:t>
      </w:r>
      <w:r>
        <w:rPr>
          <w:rFonts w:hint="eastAsia" w:ascii="宋体" w:hAnsi="宋体"/>
          <w:b/>
          <w:sz w:val="28"/>
          <w:szCs w:val="28"/>
        </w:rPr>
        <w:t xml:space="preserve">  2018-2019年学校资产变化情况</w:t>
      </w:r>
    </w:p>
    <w:p>
      <w:pPr>
        <w:jc w:val="center"/>
        <w:rPr>
          <w:rFonts w:ascii="宋体" w:hAnsi="宋体" w:cs="宋体"/>
          <w:b/>
          <w:bCs/>
          <w:color w:val="000000"/>
          <w:sz w:val="28"/>
          <w:szCs w:val="28"/>
        </w:rPr>
      </w:pPr>
      <w:r>
        <w:rPr>
          <w:rFonts w:hint="eastAsia" w:ascii="宋体" w:hAnsi="宋体" w:cs="宋体"/>
          <w:b/>
          <w:bCs/>
          <w:color w:val="000000"/>
          <w:sz w:val="28"/>
          <w:szCs w:val="28"/>
        </w:rPr>
        <w:drawing>
          <wp:inline distT="0" distB="0" distL="114300" distR="114300">
            <wp:extent cx="4176395" cy="2534920"/>
            <wp:effectExtent l="0" t="0" r="14605" b="1778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line="360" w:lineRule="auto"/>
        <w:jc w:val="center"/>
        <w:rPr>
          <w:rFonts w:ascii="宋体" w:hAnsi="宋体"/>
          <w:b/>
          <w:sz w:val="28"/>
          <w:szCs w:val="28"/>
        </w:rPr>
      </w:pPr>
      <w:r>
        <w:rPr>
          <w:rFonts w:hint="eastAsia" w:ascii="宋体" w:hAnsi="宋体"/>
          <w:b/>
          <w:sz w:val="28"/>
          <w:szCs w:val="28"/>
        </w:rPr>
        <w:t>图1-</w:t>
      </w:r>
      <w:r>
        <w:rPr>
          <w:rFonts w:hint="eastAsia" w:ascii="宋体" w:hAnsi="宋体"/>
          <w:b/>
          <w:sz w:val="28"/>
          <w:szCs w:val="28"/>
          <w:lang w:val="en-US" w:eastAsia="zh-CN"/>
        </w:rPr>
        <w:t>5</w:t>
      </w:r>
      <w:r>
        <w:rPr>
          <w:rFonts w:hint="eastAsia" w:ascii="宋体" w:hAnsi="宋体"/>
          <w:b/>
          <w:sz w:val="28"/>
          <w:szCs w:val="28"/>
        </w:rPr>
        <w:t xml:space="preserve"> 2018-2019年学校生均设施设备资产值对比</w:t>
      </w:r>
    </w:p>
    <w:p/>
    <w:p>
      <w:pPr>
        <w:ind w:firstLine="562" w:firstLineChars="200"/>
        <w:rPr>
          <w:rFonts w:ascii="宋体" w:hAnsi="宋体" w:cs="宋体"/>
          <w:b/>
          <w:bCs/>
          <w:color w:val="000000"/>
          <w:sz w:val="28"/>
          <w:szCs w:val="28"/>
        </w:rPr>
      </w:pPr>
      <w:r>
        <w:rPr>
          <w:rFonts w:hint="eastAsia" w:ascii="宋体" w:hAnsi="宋体" w:cs="宋体"/>
          <w:b/>
          <w:bCs/>
          <w:color w:val="000000"/>
          <w:sz w:val="28"/>
          <w:szCs w:val="28"/>
        </w:rPr>
        <w:t>1.4.2 实训工位充足 满足实训需求</w:t>
      </w:r>
    </w:p>
    <w:p>
      <w:pPr>
        <w:ind w:firstLine="560" w:firstLineChars="200"/>
        <w:rPr>
          <w:rFonts w:ascii="宋体" w:hAnsi="宋体" w:cs="宋体"/>
          <w:color w:val="000000"/>
          <w:sz w:val="28"/>
          <w:szCs w:val="28"/>
        </w:rPr>
      </w:pPr>
      <w:r>
        <w:rPr>
          <w:rFonts w:hint="eastAsia" w:ascii="宋体" w:hAnsi="宋体" w:cs="宋体"/>
          <w:color w:val="000000"/>
          <w:sz w:val="28"/>
          <w:szCs w:val="28"/>
        </w:rPr>
        <w:t>学校现有校内实训室</w:t>
      </w:r>
      <w:r>
        <w:rPr>
          <w:rFonts w:ascii="宋体" w:hAnsi="宋体" w:cs="宋体"/>
          <w:color w:val="000000"/>
          <w:sz w:val="28"/>
          <w:szCs w:val="28"/>
        </w:rPr>
        <w:t>48个</w:t>
      </w:r>
      <w:r>
        <w:rPr>
          <w:rFonts w:hint="eastAsia" w:ascii="宋体" w:hAnsi="宋体" w:cs="宋体"/>
          <w:color w:val="000000"/>
          <w:sz w:val="28"/>
          <w:szCs w:val="28"/>
        </w:rPr>
        <w:t>，提供工位</w:t>
      </w:r>
      <w:r>
        <w:rPr>
          <w:rFonts w:ascii="宋体" w:hAnsi="宋体" w:cs="宋体"/>
          <w:color w:val="000000"/>
          <w:sz w:val="28"/>
          <w:szCs w:val="28"/>
        </w:rPr>
        <w:t>1337个</w:t>
      </w:r>
      <w:r>
        <w:rPr>
          <w:rFonts w:hint="eastAsia" w:ascii="宋体" w:hAnsi="宋体" w:cs="宋体"/>
          <w:color w:val="000000"/>
          <w:sz w:val="28"/>
          <w:szCs w:val="28"/>
        </w:rPr>
        <w:t>，与重庆日泉农牧有限公司、九寨沟宏义集团、汶川龙达车业有限公司、四川红星领地酒庄有限公司、北川县民族歌舞团共建5个校外实训基地，年供实习岗位210个，基本满足学生实训实习需求。</w:t>
      </w:r>
    </w:p>
    <w:p>
      <w:pPr>
        <w:jc w:val="center"/>
        <w:rPr>
          <w:rFonts w:ascii="宋体" w:hAnsi="宋体" w:cs="宋体"/>
          <w:b/>
          <w:bCs/>
          <w:color w:val="000000"/>
          <w:sz w:val="28"/>
          <w:szCs w:val="28"/>
        </w:rPr>
      </w:pPr>
      <w:r>
        <w:rPr>
          <w:rFonts w:hint="eastAsia" w:ascii="宋体" w:hAnsi="宋体" w:cs="宋体"/>
          <w:b/>
          <w:bCs/>
          <w:color w:val="000000"/>
          <w:sz w:val="28"/>
          <w:szCs w:val="28"/>
        </w:rPr>
        <w:t>表1-3 2019年学校校内实训基地列表</w:t>
      </w:r>
    </w:p>
    <w:tbl>
      <w:tblPr>
        <w:tblStyle w:val="11"/>
        <w:tblW w:w="91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1737"/>
        <w:gridCol w:w="2235"/>
        <w:gridCol w:w="19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shd w:val="clear" w:color="auto" w:fill="4F81BD" w:themeFill="accent1"/>
            <w:vAlign w:val="center"/>
          </w:tcPr>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校内实训基地名称</w:t>
            </w:r>
          </w:p>
        </w:tc>
        <w:tc>
          <w:tcPr>
            <w:tcW w:w="1737" w:type="dxa"/>
            <w:shd w:val="clear" w:color="auto" w:fill="4F81BD" w:themeFill="accent1"/>
            <w:vAlign w:val="center"/>
          </w:tcPr>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建筑面积(㎡)</w:t>
            </w:r>
          </w:p>
        </w:tc>
        <w:tc>
          <w:tcPr>
            <w:tcW w:w="2235" w:type="dxa"/>
            <w:shd w:val="clear" w:color="auto" w:fill="4F81BD" w:themeFill="accent1"/>
            <w:vAlign w:val="center"/>
          </w:tcPr>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主要实训内容</w:t>
            </w:r>
          </w:p>
        </w:tc>
        <w:tc>
          <w:tcPr>
            <w:tcW w:w="1905" w:type="dxa"/>
            <w:shd w:val="clear" w:color="auto" w:fill="4F81BD" w:themeFill="accent1"/>
            <w:vAlign w:val="center"/>
          </w:tcPr>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服务专业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汽车发动机实训室</w:t>
            </w:r>
          </w:p>
        </w:tc>
        <w:tc>
          <w:tcPr>
            <w:tcW w:w="1737" w:type="dxa"/>
            <w:vAlign w:val="center"/>
          </w:tcPr>
          <w:p>
            <w:pPr>
              <w:jc w:val="center"/>
              <w:rPr>
                <w:rFonts w:ascii="宋体" w:hAnsi="宋体" w:cs="宋体"/>
                <w:sz w:val="24"/>
              </w:rPr>
            </w:pPr>
            <w:r>
              <w:rPr>
                <w:rFonts w:hint="eastAsia" w:ascii="宋体" w:hAnsi="宋体" w:cs="宋体"/>
                <w:sz w:val="24"/>
              </w:rPr>
              <w:t>100</w:t>
            </w:r>
          </w:p>
        </w:tc>
        <w:tc>
          <w:tcPr>
            <w:tcW w:w="2235" w:type="dxa"/>
            <w:vAlign w:val="center"/>
          </w:tcPr>
          <w:p>
            <w:pPr>
              <w:jc w:val="center"/>
              <w:rPr>
                <w:rFonts w:ascii="宋体" w:hAnsi="宋体" w:cs="宋体"/>
                <w:sz w:val="24"/>
              </w:rPr>
            </w:pPr>
            <w:r>
              <w:rPr>
                <w:rFonts w:hint="eastAsia" w:ascii="宋体" w:hAnsi="宋体" w:cs="宋体"/>
                <w:sz w:val="24"/>
              </w:rPr>
              <w:t>发动机综合实训</w:t>
            </w:r>
          </w:p>
        </w:tc>
        <w:tc>
          <w:tcPr>
            <w:tcW w:w="1905" w:type="dxa"/>
            <w:vAlign w:val="center"/>
          </w:tcPr>
          <w:p>
            <w:pPr>
              <w:jc w:val="center"/>
              <w:rPr>
                <w:rFonts w:ascii="宋体" w:hAnsi="宋体" w:cs="宋体"/>
                <w:sz w:val="24"/>
              </w:rPr>
            </w:pPr>
            <w:r>
              <w:rPr>
                <w:rFonts w:hint="eastAsia" w:ascii="宋体" w:hAnsi="宋体" w:cs="宋体"/>
                <w:sz w:val="24"/>
              </w:rPr>
              <w:t>汽修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汽车底盘实训室</w:t>
            </w:r>
          </w:p>
        </w:tc>
        <w:tc>
          <w:tcPr>
            <w:tcW w:w="1737" w:type="dxa"/>
            <w:vAlign w:val="center"/>
          </w:tcPr>
          <w:p>
            <w:pPr>
              <w:jc w:val="center"/>
              <w:rPr>
                <w:rFonts w:ascii="宋体" w:hAnsi="宋体" w:cs="宋体"/>
                <w:sz w:val="24"/>
              </w:rPr>
            </w:pPr>
            <w:r>
              <w:rPr>
                <w:rFonts w:hint="eastAsia" w:ascii="宋体" w:hAnsi="宋体" w:cs="宋体"/>
                <w:sz w:val="24"/>
              </w:rPr>
              <w:t>100</w:t>
            </w:r>
          </w:p>
        </w:tc>
        <w:tc>
          <w:tcPr>
            <w:tcW w:w="2235" w:type="dxa"/>
            <w:vAlign w:val="center"/>
          </w:tcPr>
          <w:p>
            <w:pPr>
              <w:jc w:val="center"/>
              <w:rPr>
                <w:rFonts w:ascii="宋体" w:hAnsi="宋体" w:cs="宋体"/>
                <w:sz w:val="24"/>
              </w:rPr>
            </w:pPr>
            <w:r>
              <w:rPr>
                <w:rFonts w:hint="eastAsia" w:ascii="宋体" w:hAnsi="宋体" w:cs="宋体"/>
                <w:sz w:val="24"/>
              </w:rPr>
              <w:t>底盘综合实训</w:t>
            </w:r>
          </w:p>
        </w:tc>
        <w:tc>
          <w:tcPr>
            <w:tcW w:w="1905" w:type="dxa"/>
            <w:vAlign w:val="center"/>
          </w:tcPr>
          <w:p>
            <w:pPr>
              <w:jc w:val="center"/>
              <w:rPr>
                <w:rFonts w:ascii="宋体" w:hAnsi="宋体" w:cs="宋体"/>
                <w:sz w:val="24"/>
              </w:rPr>
            </w:pPr>
            <w:r>
              <w:rPr>
                <w:rFonts w:hint="eastAsia" w:ascii="宋体" w:hAnsi="宋体" w:cs="宋体"/>
                <w:sz w:val="24"/>
              </w:rPr>
              <w:t>汽修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汽车电气实训室</w:t>
            </w:r>
          </w:p>
        </w:tc>
        <w:tc>
          <w:tcPr>
            <w:tcW w:w="1737" w:type="dxa"/>
            <w:vAlign w:val="center"/>
          </w:tcPr>
          <w:p>
            <w:pPr>
              <w:jc w:val="center"/>
              <w:rPr>
                <w:rFonts w:ascii="宋体" w:hAnsi="宋体" w:cs="宋体"/>
                <w:sz w:val="24"/>
              </w:rPr>
            </w:pPr>
            <w:r>
              <w:rPr>
                <w:rFonts w:hint="eastAsia" w:ascii="宋体" w:hAnsi="宋体" w:cs="宋体"/>
                <w:sz w:val="24"/>
              </w:rPr>
              <w:t>100</w:t>
            </w:r>
          </w:p>
        </w:tc>
        <w:tc>
          <w:tcPr>
            <w:tcW w:w="2235" w:type="dxa"/>
            <w:vAlign w:val="center"/>
          </w:tcPr>
          <w:p>
            <w:pPr>
              <w:rPr>
                <w:rFonts w:ascii="宋体" w:hAnsi="宋体" w:cs="宋体"/>
                <w:sz w:val="24"/>
              </w:rPr>
            </w:pPr>
            <w:r>
              <w:rPr>
                <w:rFonts w:hint="eastAsia" w:ascii="宋体" w:hAnsi="宋体" w:cs="宋体"/>
                <w:sz w:val="24"/>
              </w:rPr>
              <w:t>汽车电气综合实训</w:t>
            </w:r>
          </w:p>
        </w:tc>
        <w:tc>
          <w:tcPr>
            <w:tcW w:w="1905" w:type="dxa"/>
            <w:vAlign w:val="center"/>
          </w:tcPr>
          <w:p>
            <w:pPr>
              <w:jc w:val="center"/>
              <w:rPr>
                <w:rFonts w:ascii="宋体" w:hAnsi="宋体" w:cs="宋体"/>
                <w:sz w:val="24"/>
              </w:rPr>
            </w:pPr>
            <w:r>
              <w:rPr>
                <w:rFonts w:hint="eastAsia" w:ascii="宋体" w:hAnsi="宋体" w:cs="宋体"/>
                <w:sz w:val="24"/>
              </w:rPr>
              <w:t>汽修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汽车综合实训室</w:t>
            </w:r>
          </w:p>
        </w:tc>
        <w:tc>
          <w:tcPr>
            <w:tcW w:w="1737" w:type="dxa"/>
            <w:vAlign w:val="center"/>
          </w:tcPr>
          <w:p>
            <w:pPr>
              <w:jc w:val="center"/>
              <w:rPr>
                <w:rFonts w:ascii="宋体" w:hAnsi="宋体" w:cs="宋体"/>
                <w:sz w:val="24"/>
              </w:rPr>
            </w:pPr>
            <w:r>
              <w:rPr>
                <w:rFonts w:hint="eastAsia" w:ascii="宋体" w:hAnsi="宋体" w:cs="宋体"/>
                <w:sz w:val="24"/>
              </w:rPr>
              <w:t>280</w:t>
            </w:r>
          </w:p>
        </w:tc>
        <w:tc>
          <w:tcPr>
            <w:tcW w:w="2235" w:type="dxa"/>
            <w:vAlign w:val="center"/>
          </w:tcPr>
          <w:p>
            <w:pPr>
              <w:rPr>
                <w:rFonts w:ascii="宋体" w:hAnsi="宋体" w:cs="宋体"/>
                <w:sz w:val="24"/>
              </w:rPr>
            </w:pPr>
            <w:r>
              <w:rPr>
                <w:rFonts w:hint="eastAsia" w:ascii="宋体" w:hAnsi="宋体" w:cs="宋体"/>
                <w:sz w:val="24"/>
              </w:rPr>
              <w:t>汽车维修综合实训</w:t>
            </w:r>
          </w:p>
        </w:tc>
        <w:tc>
          <w:tcPr>
            <w:tcW w:w="1905" w:type="dxa"/>
            <w:vAlign w:val="center"/>
          </w:tcPr>
          <w:p>
            <w:pPr>
              <w:jc w:val="center"/>
              <w:rPr>
                <w:rFonts w:ascii="宋体" w:hAnsi="宋体" w:cs="宋体"/>
                <w:sz w:val="24"/>
              </w:rPr>
            </w:pPr>
            <w:r>
              <w:rPr>
                <w:rFonts w:hint="eastAsia" w:ascii="宋体" w:hAnsi="宋体" w:cs="宋体"/>
                <w:sz w:val="24"/>
              </w:rPr>
              <w:t>汽修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汽车驾驶实训基地</w:t>
            </w:r>
          </w:p>
        </w:tc>
        <w:tc>
          <w:tcPr>
            <w:tcW w:w="1737" w:type="dxa"/>
            <w:vAlign w:val="center"/>
          </w:tcPr>
          <w:p>
            <w:pPr>
              <w:ind w:right="105"/>
              <w:jc w:val="center"/>
              <w:rPr>
                <w:rFonts w:ascii="宋体" w:hAnsi="宋体" w:cs="宋体"/>
                <w:sz w:val="24"/>
              </w:rPr>
            </w:pPr>
            <w:r>
              <w:rPr>
                <w:rFonts w:hint="eastAsia" w:ascii="宋体" w:hAnsi="宋体" w:cs="宋体"/>
                <w:sz w:val="24"/>
              </w:rPr>
              <w:t>13000</w:t>
            </w:r>
          </w:p>
        </w:tc>
        <w:tc>
          <w:tcPr>
            <w:tcW w:w="2235" w:type="dxa"/>
            <w:vAlign w:val="center"/>
          </w:tcPr>
          <w:p>
            <w:pPr>
              <w:jc w:val="center"/>
              <w:rPr>
                <w:rFonts w:ascii="宋体" w:hAnsi="宋体" w:cs="宋体"/>
                <w:sz w:val="24"/>
              </w:rPr>
            </w:pPr>
            <w:r>
              <w:rPr>
                <w:rFonts w:hint="eastAsia" w:ascii="宋体" w:hAnsi="宋体" w:cs="宋体"/>
                <w:sz w:val="24"/>
              </w:rPr>
              <w:t>汽车驾驶</w:t>
            </w:r>
          </w:p>
        </w:tc>
        <w:tc>
          <w:tcPr>
            <w:tcW w:w="1905" w:type="dxa"/>
            <w:vAlign w:val="center"/>
          </w:tcPr>
          <w:p>
            <w:pPr>
              <w:jc w:val="center"/>
              <w:rPr>
                <w:rFonts w:ascii="宋体" w:hAnsi="宋体" w:cs="宋体"/>
                <w:sz w:val="24"/>
              </w:rPr>
            </w:pPr>
            <w:r>
              <w:rPr>
                <w:rFonts w:hint="eastAsia" w:ascii="宋体" w:hAnsi="宋体" w:cs="宋体"/>
                <w:sz w:val="24"/>
              </w:rPr>
              <w:t>汽修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财会手工模拟实训室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jc w:val="center"/>
              <w:rPr>
                <w:rFonts w:ascii="宋体" w:hAnsi="宋体" w:cs="宋体"/>
                <w:sz w:val="24"/>
              </w:rPr>
            </w:pPr>
            <w:r>
              <w:rPr>
                <w:rFonts w:hint="eastAsia" w:ascii="宋体" w:hAnsi="宋体" w:cs="宋体"/>
                <w:sz w:val="24"/>
              </w:rPr>
              <w:t>会计手工模拟实训</w:t>
            </w:r>
          </w:p>
        </w:tc>
        <w:tc>
          <w:tcPr>
            <w:tcW w:w="1905" w:type="dxa"/>
            <w:vAlign w:val="center"/>
          </w:tcPr>
          <w:p>
            <w:pPr>
              <w:jc w:val="center"/>
              <w:rPr>
                <w:rFonts w:ascii="宋体" w:hAnsi="宋体" w:cs="宋体"/>
                <w:sz w:val="24"/>
              </w:rPr>
            </w:pPr>
            <w:r>
              <w:rPr>
                <w:rFonts w:hint="eastAsia" w:ascii="宋体" w:hAnsi="宋体" w:cs="宋体"/>
                <w:sz w:val="24"/>
              </w:rPr>
              <w:t>会计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会计信息考教系统</w:t>
            </w:r>
          </w:p>
        </w:tc>
        <w:tc>
          <w:tcPr>
            <w:tcW w:w="1737" w:type="dxa"/>
            <w:vAlign w:val="center"/>
          </w:tcPr>
          <w:p>
            <w:pPr>
              <w:jc w:val="center"/>
              <w:rPr>
                <w:rFonts w:ascii="宋体" w:hAnsi="宋体" w:cs="宋体"/>
                <w:sz w:val="24"/>
              </w:rPr>
            </w:pPr>
            <w:r>
              <w:rPr>
                <w:rFonts w:hint="eastAsia" w:ascii="宋体" w:hAnsi="宋体" w:cs="宋体"/>
                <w:sz w:val="24"/>
              </w:rPr>
              <w:t>50</w:t>
            </w:r>
          </w:p>
        </w:tc>
        <w:tc>
          <w:tcPr>
            <w:tcW w:w="2235" w:type="dxa"/>
            <w:vAlign w:val="center"/>
          </w:tcPr>
          <w:p>
            <w:pPr>
              <w:rPr>
                <w:rFonts w:ascii="宋体" w:hAnsi="宋体" w:cs="宋体"/>
                <w:sz w:val="24"/>
              </w:rPr>
            </w:pPr>
            <w:r>
              <w:rPr>
                <w:rFonts w:hint="eastAsia" w:ascii="宋体" w:hAnsi="宋体" w:cs="宋体"/>
                <w:sz w:val="24"/>
              </w:rPr>
              <w:t>会计信息考教实训</w:t>
            </w:r>
          </w:p>
        </w:tc>
        <w:tc>
          <w:tcPr>
            <w:tcW w:w="1905" w:type="dxa"/>
            <w:vAlign w:val="center"/>
          </w:tcPr>
          <w:p>
            <w:pPr>
              <w:jc w:val="center"/>
              <w:rPr>
                <w:rFonts w:ascii="宋体" w:hAnsi="宋体" w:cs="宋体"/>
                <w:sz w:val="24"/>
              </w:rPr>
            </w:pPr>
            <w:r>
              <w:rPr>
                <w:rFonts w:hint="eastAsia" w:ascii="宋体" w:hAnsi="宋体" w:cs="宋体"/>
                <w:sz w:val="24"/>
              </w:rPr>
              <w:t>会计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会计电算化</w:t>
            </w:r>
          </w:p>
        </w:tc>
        <w:tc>
          <w:tcPr>
            <w:tcW w:w="1737" w:type="dxa"/>
            <w:vAlign w:val="center"/>
          </w:tcPr>
          <w:p>
            <w:pPr>
              <w:jc w:val="center"/>
              <w:rPr>
                <w:rFonts w:ascii="宋体" w:hAnsi="宋体" w:cs="宋体"/>
                <w:sz w:val="24"/>
              </w:rPr>
            </w:pPr>
            <w:r>
              <w:rPr>
                <w:rFonts w:hint="eastAsia" w:ascii="宋体" w:hAnsi="宋体" w:cs="宋体"/>
                <w:sz w:val="24"/>
              </w:rPr>
              <w:t>50</w:t>
            </w:r>
          </w:p>
        </w:tc>
        <w:tc>
          <w:tcPr>
            <w:tcW w:w="2235" w:type="dxa"/>
            <w:vAlign w:val="center"/>
          </w:tcPr>
          <w:p>
            <w:pPr>
              <w:jc w:val="center"/>
              <w:rPr>
                <w:rFonts w:ascii="宋体" w:hAnsi="宋体" w:cs="宋体"/>
                <w:sz w:val="24"/>
              </w:rPr>
            </w:pPr>
            <w:r>
              <w:rPr>
                <w:rFonts w:hint="eastAsia" w:ascii="宋体" w:hAnsi="宋体" w:cs="宋体"/>
                <w:sz w:val="24"/>
              </w:rPr>
              <w:t>会计电算化实训</w:t>
            </w:r>
          </w:p>
        </w:tc>
        <w:tc>
          <w:tcPr>
            <w:tcW w:w="1905" w:type="dxa"/>
            <w:vAlign w:val="center"/>
          </w:tcPr>
          <w:p>
            <w:pPr>
              <w:jc w:val="center"/>
              <w:rPr>
                <w:rFonts w:ascii="宋体" w:hAnsi="宋体" w:cs="宋体"/>
                <w:sz w:val="24"/>
              </w:rPr>
            </w:pPr>
            <w:r>
              <w:rPr>
                <w:rFonts w:hint="eastAsia" w:ascii="宋体" w:hAnsi="宋体" w:cs="宋体"/>
                <w:sz w:val="24"/>
              </w:rPr>
              <w:t>会计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会计沙盘实训室</w:t>
            </w:r>
          </w:p>
        </w:tc>
        <w:tc>
          <w:tcPr>
            <w:tcW w:w="1737" w:type="dxa"/>
            <w:vAlign w:val="center"/>
          </w:tcPr>
          <w:p>
            <w:pPr>
              <w:jc w:val="center"/>
              <w:rPr>
                <w:rFonts w:ascii="宋体" w:hAnsi="宋体" w:cs="宋体"/>
                <w:sz w:val="24"/>
              </w:rPr>
            </w:pPr>
            <w:r>
              <w:rPr>
                <w:rFonts w:hint="eastAsia" w:ascii="宋体" w:hAnsi="宋体" w:cs="宋体"/>
                <w:sz w:val="24"/>
              </w:rPr>
              <w:t>50</w:t>
            </w:r>
          </w:p>
        </w:tc>
        <w:tc>
          <w:tcPr>
            <w:tcW w:w="2235" w:type="dxa"/>
            <w:vAlign w:val="center"/>
          </w:tcPr>
          <w:p>
            <w:pPr>
              <w:jc w:val="center"/>
              <w:rPr>
                <w:rFonts w:ascii="宋体" w:hAnsi="宋体" w:cs="宋体"/>
                <w:sz w:val="24"/>
              </w:rPr>
            </w:pPr>
            <w:r>
              <w:rPr>
                <w:rFonts w:hint="eastAsia" w:ascii="宋体" w:hAnsi="宋体" w:cs="宋体"/>
                <w:sz w:val="24"/>
              </w:rPr>
              <w:t>会计沙盘实训</w:t>
            </w:r>
          </w:p>
        </w:tc>
        <w:tc>
          <w:tcPr>
            <w:tcW w:w="1905" w:type="dxa"/>
            <w:vAlign w:val="center"/>
          </w:tcPr>
          <w:p>
            <w:pPr>
              <w:jc w:val="center"/>
              <w:rPr>
                <w:rFonts w:ascii="宋体" w:hAnsi="宋体" w:cs="宋体"/>
                <w:sz w:val="24"/>
              </w:rPr>
            </w:pPr>
            <w:r>
              <w:rPr>
                <w:rFonts w:hint="eastAsia" w:ascii="宋体" w:hAnsi="宋体" w:cs="宋体"/>
                <w:sz w:val="24"/>
              </w:rPr>
              <w:t>会计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畜牧综合实训室</w:t>
            </w:r>
          </w:p>
        </w:tc>
        <w:tc>
          <w:tcPr>
            <w:tcW w:w="1737" w:type="dxa"/>
            <w:vAlign w:val="center"/>
          </w:tcPr>
          <w:p>
            <w:pPr>
              <w:jc w:val="center"/>
              <w:rPr>
                <w:rFonts w:ascii="宋体" w:hAnsi="宋体" w:cs="宋体"/>
                <w:sz w:val="24"/>
              </w:rPr>
            </w:pPr>
            <w:r>
              <w:rPr>
                <w:rFonts w:hint="eastAsia" w:ascii="宋体" w:hAnsi="宋体" w:cs="宋体"/>
                <w:sz w:val="24"/>
              </w:rPr>
              <w:t>150</w:t>
            </w:r>
          </w:p>
        </w:tc>
        <w:tc>
          <w:tcPr>
            <w:tcW w:w="2235" w:type="dxa"/>
            <w:vAlign w:val="center"/>
          </w:tcPr>
          <w:p>
            <w:pPr>
              <w:jc w:val="center"/>
              <w:rPr>
                <w:rFonts w:ascii="宋体" w:hAnsi="宋体" w:cs="宋体"/>
                <w:sz w:val="24"/>
              </w:rPr>
            </w:pPr>
            <w:r>
              <w:rPr>
                <w:rFonts w:hint="eastAsia" w:ascii="宋体" w:hAnsi="宋体" w:cs="宋体"/>
                <w:sz w:val="24"/>
              </w:rPr>
              <w:t>畜牧综合实训</w:t>
            </w:r>
          </w:p>
        </w:tc>
        <w:tc>
          <w:tcPr>
            <w:tcW w:w="1905" w:type="dxa"/>
            <w:vAlign w:val="center"/>
          </w:tcPr>
          <w:p>
            <w:pPr>
              <w:jc w:val="center"/>
              <w:rPr>
                <w:rFonts w:ascii="宋体" w:hAnsi="宋体" w:cs="宋体"/>
                <w:sz w:val="24"/>
              </w:rPr>
            </w:pPr>
            <w:r>
              <w:rPr>
                <w:rFonts w:hint="eastAsia" w:ascii="宋体" w:hAnsi="宋体" w:cs="宋体"/>
                <w:sz w:val="24"/>
              </w:rPr>
              <w:t>畜牧兽医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兽医综合</w:t>
            </w:r>
          </w:p>
        </w:tc>
        <w:tc>
          <w:tcPr>
            <w:tcW w:w="1737" w:type="dxa"/>
            <w:vAlign w:val="center"/>
          </w:tcPr>
          <w:p>
            <w:pPr>
              <w:jc w:val="center"/>
              <w:rPr>
                <w:rFonts w:ascii="宋体" w:hAnsi="宋体" w:cs="宋体"/>
                <w:sz w:val="24"/>
              </w:rPr>
            </w:pPr>
            <w:r>
              <w:rPr>
                <w:rFonts w:hint="eastAsia" w:ascii="宋体" w:hAnsi="宋体" w:cs="宋体"/>
                <w:sz w:val="24"/>
              </w:rPr>
              <w:t>150</w:t>
            </w:r>
          </w:p>
        </w:tc>
        <w:tc>
          <w:tcPr>
            <w:tcW w:w="2235" w:type="dxa"/>
            <w:vAlign w:val="center"/>
          </w:tcPr>
          <w:p>
            <w:pPr>
              <w:jc w:val="center"/>
              <w:rPr>
                <w:rFonts w:ascii="宋体" w:hAnsi="宋体" w:cs="宋体"/>
                <w:sz w:val="24"/>
              </w:rPr>
            </w:pPr>
            <w:r>
              <w:rPr>
                <w:rFonts w:hint="eastAsia" w:ascii="宋体" w:hAnsi="宋体" w:cs="宋体"/>
                <w:sz w:val="24"/>
              </w:rPr>
              <w:t>兽医综合实训</w:t>
            </w:r>
          </w:p>
        </w:tc>
        <w:tc>
          <w:tcPr>
            <w:tcW w:w="1905" w:type="dxa"/>
            <w:vAlign w:val="center"/>
          </w:tcPr>
          <w:p>
            <w:pPr>
              <w:jc w:val="center"/>
              <w:rPr>
                <w:rFonts w:ascii="宋体" w:hAnsi="宋体" w:cs="宋体"/>
                <w:sz w:val="24"/>
              </w:rPr>
            </w:pPr>
            <w:r>
              <w:rPr>
                <w:rFonts w:hint="eastAsia" w:ascii="宋体" w:hAnsi="宋体" w:cs="宋体"/>
                <w:sz w:val="24"/>
              </w:rPr>
              <w:t>畜牧兽医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标本室</w:t>
            </w:r>
          </w:p>
        </w:tc>
        <w:tc>
          <w:tcPr>
            <w:tcW w:w="1737" w:type="dxa"/>
            <w:vAlign w:val="center"/>
          </w:tcPr>
          <w:p>
            <w:pPr>
              <w:jc w:val="center"/>
              <w:rPr>
                <w:rFonts w:ascii="宋体" w:hAnsi="宋体" w:cs="宋体"/>
                <w:sz w:val="24"/>
              </w:rPr>
            </w:pPr>
            <w:r>
              <w:rPr>
                <w:rFonts w:hint="eastAsia" w:ascii="宋体" w:hAnsi="宋体" w:cs="宋体"/>
                <w:sz w:val="24"/>
              </w:rPr>
              <w:t>120</w:t>
            </w:r>
          </w:p>
        </w:tc>
        <w:tc>
          <w:tcPr>
            <w:tcW w:w="2235" w:type="dxa"/>
            <w:vAlign w:val="center"/>
          </w:tcPr>
          <w:p>
            <w:pPr>
              <w:jc w:val="center"/>
              <w:rPr>
                <w:rFonts w:ascii="宋体" w:hAnsi="宋体" w:cs="宋体"/>
                <w:sz w:val="24"/>
              </w:rPr>
            </w:pPr>
            <w:r>
              <w:rPr>
                <w:rFonts w:hint="eastAsia" w:ascii="宋体" w:hAnsi="宋体" w:cs="宋体"/>
                <w:sz w:val="24"/>
              </w:rPr>
              <w:t>畜禽解生实训</w:t>
            </w:r>
          </w:p>
        </w:tc>
        <w:tc>
          <w:tcPr>
            <w:tcW w:w="1905" w:type="dxa"/>
            <w:vAlign w:val="center"/>
          </w:tcPr>
          <w:p>
            <w:pPr>
              <w:jc w:val="center"/>
              <w:rPr>
                <w:rFonts w:ascii="宋体" w:hAnsi="宋体" w:cs="宋体"/>
                <w:sz w:val="24"/>
              </w:rPr>
            </w:pPr>
            <w:r>
              <w:rPr>
                <w:rFonts w:hint="eastAsia" w:ascii="宋体" w:hAnsi="宋体" w:cs="宋体"/>
                <w:sz w:val="24"/>
              </w:rPr>
              <w:t>畜牧兽医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微生物实训室</w:t>
            </w:r>
          </w:p>
        </w:tc>
        <w:tc>
          <w:tcPr>
            <w:tcW w:w="1737" w:type="dxa"/>
            <w:vAlign w:val="center"/>
          </w:tcPr>
          <w:p>
            <w:pPr>
              <w:jc w:val="center"/>
              <w:rPr>
                <w:rFonts w:ascii="宋体" w:hAnsi="宋体" w:cs="宋体"/>
                <w:sz w:val="24"/>
              </w:rPr>
            </w:pPr>
            <w:r>
              <w:rPr>
                <w:rFonts w:hint="eastAsia" w:ascii="宋体" w:hAnsi="宋体" w:cs="宋体"/>
                <w:sz w:val="24"/>
              </w:rPr>
              <w:t>150</w:t>
            </w:r>
          </w:p>
        </w:tc>
        <w:tc>
          <w:tcPr>
            <w:tcW w:w="2235" w:type="dxa"/>
            <w:vAlign w:val="center"/>
          </w:tcPr>
          <w:p>
            <w:pPr>
              <w:jc w:val="center"/>
              <w:rPr>
                <w:rFonts w:ascii="宋体" w:hAnsi="宋体" w:cs="宋体"/>
                <w:sz w:val="24"/>
              </w:rPr>
            </w:pPr>
            <w:r>
              <w:rPr>
                <w:rFonts w:hint="eastAsia" w:ascii="宋体" w:hAnsi="宋体" w:cs="宋体"/>
                <w:sz w:val="24"/>
              </w:rPr>
              <w:t>动物微生物实训</w:t>
            </w:r>
          </w:p>
        </w:tc>
        <w:tc>
          <w:tcPr>
            <w:tcW w:w="1905" w:type="dxa"/>
            <w:vAlign w:val="center"/>
          </w:tcPr>
          <w:p>
            <w:pPr>
              <w:jc w:val="center"/>
              <w:rPr>
                <w:rFonts w:ascii="宋体" w:hAnsi="宋体" w:cs="宋体"/>
                <w:sz w:val="24"/>
              </w:rPr>
            </w:pPr>
            <w:r>
              <w:rPr>
                <w:rFonts w:hint="eastAsia" w:ascii="宋体" w:hAnsi="宋体" w:cs="宋体"/>
                <w:sz w:val="24"/>
              </w:rPr>
              <w:t>畜牧兽医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动物手术室</w:t>
            </w:r>
          </w:p>
        </w:tc>
        <w:tc>
          <w:tcPr>
            <w:tcW w:w="1737" w:type="dxa"/>
            <w:vAlign w:val="center"/>
          </w:tcPr>
          <w:p>
            <w:pPr>
              <w:jc w:val="center"/>
              <w:rPr>
                <w:rFonts w:ascii="宋体" w:hAnsi="宋体" w:cs="宋体"/>
                <w:sz w:val="24"/>
              </w:rPr>
            </w:pPr>
            <w:r>
              <w:rPr>
                <w:rFonts w:hint="eastAsia" w:ascii="宋体" w:hAnsi="宋体" w:cs="宋体"/>
                <w:sz w:val="24"/>
              </w:rPr>
              <w:t>80</w:t>
            </w:r>
          </w:p>
        </w:tc>
        <w:tc>
          <w:tcPr>
            <w:tcW w:w="2235" w:type="dxa"/>
            <w:vAlign w:val="center"/>
          </w:tcPr>
          <w:p>
            <w:pPr>
              <w:jc w:val="center"/>
              <w:rPr>
                <w:rFonts w:ascii="宋体" w:hAnsi="宋体" w:cs="宋体"/>
                <w:sz w:val="24"/>
              </w:rPr>
            </w:pPr>
            <w:r>
              <w:rPr>
                <w:rFonts w:hint="eastAsia" w:ascii="宋体" w:hAnsi="宋体" w:cs="宋体"/>
                <w:sz w:val="24"/>
              </w:rPr>
              <w:t>动物手术实训</w:t>
            </w:r>
          </w:p>
        </w:tc>
        <w:tc>
          <w:tcPr>
            <w:tcW w:w="1905" w:type="dxa"/>
            <w:vAlign w:val="center"/>
          </w:tcPr>
          <w:p>
            <w:pPr>
              <w:jc w:val="center"/>
              <w:rPr>
                <w:rFonts w:ascii="宋体" w:hAnsi="宋体" w:cs="宋体"/>
                <w:sz w:val="24"/>
              </w:rPr>
            </w:pPr>
            <w:r>
              <w:rPr>
                <w:rFonts w:hint="eastAsia" w:ascii="宋体" w:hAnsi="宋体" w:cs="宋体"/>
                <w:sz w:val="24"/>
              </w:rPr>
              <w:t>畜牧兽医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植物及植物生理实验室</w:t>
            </w:r>
          </w:p>
        </w:tc>
        <w:tc>
          <w:tcPr>
            <w:tcW w:w="1737" w:type="dxa"/>
            <w:vAlign w:val="center"/>
          </w:tcPr>
          <w:p>
            <w:pPr>
              <w:jc w:val="center"/>
              <w:rPr>
                <w:rFonts w:ascii="宋体" w:hAnsi="宋体" w:cs="宋体"/>
                <w:sz w:val="24"/>
              </w:rPr>
            </w:pPr>
            <w:r>
              <w:rPr>
                <w:rFonts w:hint="eastAsia" w:ascii="宋体" w:hAnsi="宋体" w:cs="宋体"/>
                <w:sz w:val="24"/>
              </w:rPr>
              <w:t>150</w:t>
            </w:r>
          </w:p>
        </w:tc>
        <w:tc>
          <w:tcPr>
            <w:tcW w:w="2235" w:type="dxa"/>
            <w:vAlign w:val="center"/>
          </w:tcPr>
          <w:p>
            <w:pPr>
              <w:jc w:val="center"/>
              <w:rPr>
                <w:rFonts w:ascii="宋体" w:hAnsi="宋体" w:cs="宋体"/>
                <w:sz w:val="24"/>
              </w:rPr>
            </w:pPr>
            <w:r>
              <w:rPr>
                <w:rFonts w:hint="eastAsia" w:ascii="宋体" w:hAnsi="宋体" w:cs="宋体"/>
                <w:sz w:val="24"/>
              </w:rPr>
              <w:t>植物及植物生理实训</w:t>
            </w:r>
          </w:p>
        </w:tc>
        <w:tc>
          <w:tcPr>
            <w:tcW w:w="1905" w:type="dxa"/>
            <w:vAlign w:val="center"/>
          </w:tcPr>
          <w:p>
            <w:pPr>
              <w:jc w:val="center"/>
              <w:rPr>
                <w:rFonts w:ascii="宋体" w:hAnsi="宋体" w:cs="宋体"/>
                <w:sz w:val="24"/>
              </w:rPr>
            </w:pPr>
            <w:r>
              <w:rPr>
                <w:rFonts w:hint="eastAsia" w:ascii="宋体" w:hAnsi="宋体" w:cs="宋体"/>
                <w:sz w:val="24"/>
              </w:rPr>
              <w:t>现代农艺技术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农学综合实验室</w:t>
            </w:r>
          </w:p>
        </w:tc>
        <w:tc>
          <w:tcPr>
            <w:tcW w:w="1737" w:type="dxa"/>
            <w:vAlign w:val="center"/>
          </w:tcPr>
          <w:p>
            <w:pPr>
              <w:jc w:val="center"/>
              <w:rPr>
                <w:rFonts w:ascii="宋体" w:hAnsi="宋体" w:cs="宋体"/>
                <w:sz w:val="24"/>
              </w:rPr>
            </w:pPr>
            <w:r>
              <w:rPr>
                <w:rFonts w:hint="eastAsia" w:ascii="宋体" w:hAnsi="宋体" w:cs="宋体"/>
                <w:sz w:val="24"/>
              </w:rPr>
              <w:t>120</w:t>
            </w:r>
          </w:p>
        </w:tc>
        <w:tc>
          <w:tcPr>
            <w:tcW w:w="2235" w:type="dxa"/>
            <w:vAlign w:val="center"/>
          </w:tcPr>
          <w:p>
            <w:pPr>
              <w:jc w:val="center"/>
              <w:rPr>
                <w:rFonts w:ascii="宋体" w:hAnsi="宋体" w:cs="宋体"/>
                <w:sz w:val="24"/>
              </w:rPr>
            </w:pPr>
            <w:r>
              <w:rPr>
                <w:rFonts w:hint="eastAsia" w:ascii="宋体" w:hAnsi="宋体" w:cs="宋体"/>
                <w:sz w:val="24"/>
              </w:rPr>
              <w:t>农学综合实训</w:t>
            </w:r>
          </w:p>
        </w:tc>
        <w:tc>
          <w:tcPr>
            <w:tcW w:w="1905" w:type="dxa"/>
            <w:vAlign w:val="center"/>
          </w:tcPr>
          <w:p>
            <w:pPr>
              <w:jc w:val="center"/>
              <w:rPr>
                <w:rFonts w:ascii="宋体" w:hAnsi="宋体" w:cs="宋体"/>
                <w:sz w:val="24"/>
              </w:rPr>
            </w:pPr>
            <w:r>
              <w:rPr>
                <w:rFonts w:hint="eastAsia" w:ascii="宋体" w:hAnsi="宋体" w:cs="宋体"/>
                <w:sz w:val="24"/>
              </w:rPr>
              <w:t>现代农艺技术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化学实验室</w:t>
            </w:r>
          </w:p>
        </w:tc>
        <w:tc>
          <w:tcPr>
            <w:tcW w:w="1737" w:type="dxa"/>
            <w:vAlign w:val="center"/>
          </w:tcPr>
          <w:p>
            <w:pPr>
              <w:jc w:val="center"/>
              <w:rPr>
                <w:rFonts w:ascii="宋体" w:hAnsi="宋体" w:cs="宋体"/>
                <w:sz w:val="24"/>
              </w:rPr>
            </w:pPr>
            <w:r>
              <w:rPr>
                <w:rFonts w:hint="eastAsia" w:ascii="宋体" w:hAnsi="宋体" w:cs="宋体"/>
                <w:sz w:val="24"/>
              </w:rPr>
              <w:t>150</w:t>
            </w:r>
          </w:p>
        </w:tc>
        <w:tc>
          <w:tcPr>
            <w:tcW w:w="2235" w:type="dxa"/>
            <w:vAlign w:val="center"/>
          </w:tcPr>
          <w:p>
            <w:pPr>
              <w:jc w:val="center"/>
              <w:rPr>
                <w:rFonts w:ascii="宋体" w:hAnsi="宋体" w:cs="宋体"/>
                <w:sz w:val="24"/>
              </w:rPr>
            </w:pPr>
            <w:r>
              <w:rPr>
                <w:rFonts w:hint="eastAsia" w:ascii="宋体" w:hAnsi="宋体" w:cs="宋体"/>
                <w:sz w:val="24"/>
              </w:rPr>
              <w:t>化学实验</w:t>
            </w:r>
          </w:p>
        </w:tc>
        <w:tc>
          <w:tcPr>
            <w:tcW w:w="1905" w:type="dxa"/>
            <w:vAlign w:val="center"/>
          </w:tcPr>
          <w:p>
            <w:pPr>
              <w:jc w:val="center"/>
              <w:rPr>
                <w:rFonts w:ascii="宋体" w:hAnsi="宋体" w:cs="宋体"/>
                <w:sz w:val="24"/>
              </w:rPr>
            </w:pPr>
            <w:r>
              <w:rPr>
                <w:rFonts w:hint="eastAsia" w:ascii="宋体" w:hAnsi="宋体" w:cs="宋体"/>
                <w:sz w:val="24"/>
              </w:rPr>
              <w:t>畜牧兽医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藏医原药加工实训室</w:t>
            </w:r>
          </w:p>
        </w:tc>
        <w:tc>
          <w:tcPr>
            <w:tcW w:w="1737" w:type="dxa"/>
            <w:vAlign w:val="center"/>
          </w:tcPr>
          <w:p>
            <w:pPr>
              <w:jc w:val="center"/>
              <w:rPr>
                <w:rFonts w:ascii="宋体" w:hAnsi="宋体" w:cs="宋体"/>
                <w:sz w:val="24"/>
              </w:rPr>
            </w:pPr>
            <w:r>
              <w:rPr>
                <w:rFonts w:hint="eastAsia" w:ascii="宋体" w:hAnsi="宋体" w:cs="宋体"/>
                <w:sz w:val="24"/>
              </w:rPr>
              <w:t>120</w:t>
            </w:r>
          </w:p>
        </w:tc>
        <w:tc>
          <w:tcPr>
            <w:tcW w:w="2235" w:type="dxa"/>
            <w:vAlign w:val="center"/>
          </w:tcPr>
          <w:p>
            <w:pPr>
              <w:jc w:val="center"/>
              <w:rPr>
                <w:rFonts w:ascii="宋体" w:hAnsi="宋体" w:cs="宋体"/>
                <w:sz w:val="24"/>
              </w:rPr>
            </w:pPr>
            <w:r>
              <w:rPr>
                <w:rFonts w:hint="eastAsia" w:ascii="宋体" w:hAnsi="宋体" w:cs="宋体"/>
                <w:sz w:val="24"/>
              </w:rPr>
              <w:t>藏医药物力效加工</w:t>
            </w:r>
          </w:p>
        </w:tc>
        <w:tc>
          <w:tcPr>
            <w:tcW w:w="1905" w:type="dxa"/>
            <w:vAlign w:val="center"/>
          </w:tcPr>
          <w:p>
            <w:pPr>
              <w:jc w:val="center"/>
              <w:rPr>
                <w:rFonts w:ascii="宋体" w:hAnsi="宋体" w:cs="宋体"/>
                <w:sz w:val="24"/>
              </w:rPr>
            </w:pPr>
            <w:r>
              <w:rPr>
                <w:rFonts w:hint="eastAsia" w:ascii="宋体" w:hAnsi="宋体" w:cs="宋体"/>
                <w:sz w:val="24"/>
              </w:rPr>
              <w:t>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高原（人畜两用）藏药标本室</w:t>
            </w:r>
          </w:p>
        </w:tc>
        <w:tc>
          <w:tcPr>
            <w:tcW w:w="1737" w:type="dxa"/>
            <w:vAlign w:val="center"/>
          </w:tcPr>
          <w:p>
            <w:pPr>
              <w:jc w:val="center"/>
              <w:rPr>
                <w:rFonts w:ascii="宋体" w:hAnsi="宋体" w:cs="宋体"/>
                <w:sz w:val="24"/>
              </w:rPr>
            </w:pPr>
            <w:r>
              <w:rPr>
                <w:rFonts w:hint="eastAsia" w:ascii="宋体" w:hAnsi="宋体" w:cs="宋体"/>
                <w:sz w:val="24"/>
              </w:rPr>
              <w:t>50</w:t>
            </w:r>
          </w:p>
        </w:tc>
        <w:tc>
          <w:tcPr>
            <w:tcW w:w="2235" w:type="dxa"/>
            <w:vAlign w:val="center"/>
          </w:tcPr>
          <w:p>
            <w:pPr>
              <w:jc w:val="center"/>
              <w:rPr>
                <w:rFonts w:ascii="宋体" w:hAnsi="宋体" w:cs="宋体"/>
                <w:sz w:val="24"/>
              </w:rPr>
            </w:pPr>
            <w:r>
              <w:rPr>
                <w:rFonts w:hint="eastAsia" w:ascii="宋体" w:hAnsi="宋体" w:cs="宋体"/>
                <w:sz w:val="24"/>
              </w:rPr>
              <w:t>标本、解剖生理实训</w:t>
            </w:r>
          </w:p>
        </w:tc>
        <w:tc>
          <w:tcPr>
            <w:tcW w:w="1905" w:type="dxa"/>
            <w:vAlign w:val="center"/>
          </w:tcPr>
          <w:p>
            <w:pPr>
              <w:jc w:val="center"/>
              <w:rPr>
                <w:rFonts w:ascii="宋体" w:hAnsi="宋体" w:cs="宋体"/>
                <w:sz w:val="24"/>
              </w:rPr>
            </w:pPr>
            <w:r>
              <w:rPr>
                <w:rFonts w:hint="eastAsia" w:ascii="宋体" w:hAnsi="宋体" w:cs="宋体"/>
                <w:sz w:val="24"/>
              </w:rPr>
              <w:t>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藏医医学资料图</w:t>
            </w:r>
          </w:p>
        </w:tc>
        <w:tc>
          <w:tcPr>
            <w:tcW w:w="1737" w:type="dxa"/>
            <w:vAlign w:val="center"/>
          </w:tcPr>
          <w:p>
            <w:pPr>
              <w:jc w:val="center"/>
              <w:rPr>
                <w:rFonts w:ascii="宋体" w:hAnsi="宋体" w:cs="宋体"/>
                <w:sz w:val="24"/>
              </w:rPr>
            </w:pPr>
            <w:r>
              <w:rPr>
                <w:rFonts w:hint="eastAsia" w:ascii="宋体" w:hAnsi="宋体" w:cs="宋体"/>
                <w:sz w:val="24"/>
              </w:rPr>
              <w:t>50</w:t>
            </w:r>
          </w:p>
        </w:tc>
        <w:tc>
          <w:tcPr>
            <w:tcW w:w="2235" w:type="dxa"/>
            <w:vAlign w:val="center"/>
          </w:tcPr>
          <w:p>
            <w:pPr>
              <w:jc w:val="center"/>
              <w:rPr>
                <w:rFonts w:ascii="宋体" w:hAnsi="宋体" w:cs="宋体"/>
                <w:sz w:val="24"/>
              </w:rPr>
            </w:pPr>
            <w:r>
              <w:rPr>
                <w:rFonts w:hint="eastAsia" w:ascii="宋体" w:hAnsi="宋体" w:cs="宋体"/>
                <w:sz w:val="24"/>
              </w:rPr>
              <w:t>利众医学资料图制</w:t>
            </w:r>
          </w:p>
        </w:tc>
        <w:tc>
          <w:tcPr>
            <w:tcW w:w="1905" w:type="dxa"/>
            <w:vAlign w:val="center"/>
          </w:tcPr>
          <w:p>
            <w:pPr>
              <w:jc w:val="center"/>
              <w:rPr>
                <w:rFonts w:ascii="宋体" w:hAnsi="宋体" w:cs="宋体"/>
                <w:sz w:val="24"/>
              </w:rPr>
            </w:pPr>
            <w:r>
              <w:rPr>
                <w:rFonts w:hint="eastAsia" w:ascii="宋体" w:hAnsi="宋体" w:cs="宋体"/>
                <w:sz w:val="24"/>
              </w:rPr>
              <w:t>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藏医配药实训室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widowControl/>
              <w:jc w:val="center"/>
              <w:rPr>
                <w:rFonts w:ascii="宋体" w:hAnsi="宋体" w:cs="宋体"/>
                <w:sz w:val="24"/>
              </w:rPr>
            </w:pPr>
            <w:r>
              <w:rPr>
                <w:rFonts w:hint="eastAsia" w:ascii="宋体" w:hAnsi="宋体" w:cs="宋体"/>
                <w:sz w:val="24"/>
              </w:rPr>
              <w:t>藏医配药实训</w:t>
            </w:r>
          </w:p>
          <w:p>
            <w:pPr>
              <w:jc w:val="center"/>
              <w:rPr>
                <w:rFonts w:ascii="宋体" w:hAnsi="宋体" w:cs="宋体"/>
                <w:sz w:val="24"/>
              </w:rPr>
            </w:pPr>
          </w:p>
        </w:tc>
        <w:tc>
          <w:tcPr>
            <w:tcW w:w="1905" w:type="dxa"/>
            <w:vAlign w:val="center"/>
          </w:tcPr>
          <w:p>
            <w:pPr>
              <w:jc w:val="center"/>
              <w:rPr>
                <w:rFonts w:ascii="宋体" w:hAnsi="宋体" w:cs="宋体"/>
                <w:sz w:val="24"/>
              </w:rPr>
            </w:pPr>
            <w:r>
              <w:rPr>
                <w:rFonts w:hint="eastAsia" w:ascii="宋体" w:hAnsi="宋体" w:cs="宋体"/>
                <w:sz w:val="24"/>
              </w:rPr>
              <w:t>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针剂实训室</w:t>
            </w:r>
          </w:p>
        </w:tc>
        <w:tc>
          <w:tcPr>
            <w:tcW w:w="1737" w:type="dxa"/>
            <w:vAlign w:val="center"/>
          </w:tcPr>
          <w:p>
            <w:pPr>
              <w:jc w:val="center"/>
              <w:rPr>
                <w:rFonts w:ascii="宋体" w:hAnsi="宋体" w:cs="宋体"/>
                <w:sz w:val="24"/>
              </w:rPr>
            </w:pPr>
            <w:r>
              <w:rPr>
                <w:rFonts w:hint="eastAsia" w:ascii="宋体" w:hAnsi="宋体" w:cs="宋体"/>
                <w:sz w:val="24"/>
              </w:rPr>
              <w:t>130</w:t>
            </w:r>
          </w:p>
        </w:tc>
        <w:tc>
          <w:tcPr>
            <w:tcW w:w="2235" w:type="dxa"/>
            <w:vAlign w:val="center"/>
          </w:tcPr>
          <w:p>
            <w:pPr>
              <w:widowControl/>
              <w:jc w:val="center"/>
              <w:rPr>
                <w:rFonts w:ascii="宋体" w:hAnsi="宋体" w:cs="宋体"/>
                <w:sz w:val="24"/>
              </w:rPr>
            </w:pPr>
            <w:r>
              <w:rPr>
                <w:rFonts w:hint="eastAsia" w:ascii="宋体" w:hAnsi="宋体" w:cs="宋体"/>
                <w:sz w:val="24"/>
              </w:rPr>
              <w:t>藏医针剂实训</w:t>
            </w:r>
          </w:p>
          <w:p>
            <w:pPr>
              <w:jc w:val="center"/>
              <w:rPr>
                <w:rFonts w:ascii="宋体" w:hAnsi="宋体" w:cs="宋体"/>
                <w:sz w:val="24"/>
              </w:rPr>
            </w:pPr>
          </w:p>
        </w:tc>
        <w:tc>
          <w:tcPr>
            <w:tcW w:w="1905" w:type="dxa"/>
            <w:vAlign w:val="center"/>
          </w:tcPr>
          <w:p>
            <w:pPr>
              <w:jc w:val="center"/>
              <w:rPr>
                <w:rFonts w:ascii="宋体" w:hAnsi="宋体" w:cs="宋体"/>
                <w:sz w:val="24"/>
              </w:rPr>
            </w:pPr>
            <w:r>
              <w:rPr>
                <w:rFonts w:hint="eastAsia" w:ascii="宋体" w:hAnsi="宋体" w:cs="宋体"/>
                <w:sz w:val="24"/>
              </w:rPr>
              <w:t>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药物采检技术实训室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jc w:val="center"/>
              <w:rPr>
                <w:rFonts w:ascii="宋体" w:hAnsi="宋体" w:cs="宋体"/>
                <w:sz w:val="24"/>
              </w:rPr>
            </w:pPr>
            <w:r>
              <w:rPr>
                <w:rFonts w:hint="eastAsia" w:ascii="宋体" w:hAnsi="宋体" w:cs="宋体"/>
                <w:sz w:val="24"/>
              </w:rPr>
              <w:t>药物采检技术实训</w:t>
            </w:r>
          </w:p>
        </w:tc>
        <w:tc>
          <w:tcPr>
            <w:tcW w:w="1905" w:type="dxa"/>
            <w:vAlign w:val="center"/>
          </w:tcPr>
          <w:p>
            <w:pPr>
              <w:jc w:val="center"/>
              <w:rPr>
                <w:rFonts w:ascii="宋体" w:hAnsi="宋体" w:cs="宋体"/>
                <w:sz w:val="24"/>
              </w:rPr>
            </w:pPr>
            <w:r>
              <w:rPr>
                <w:rFonts w:hint="eastAsia" w:ascii="宋体" w:hAnsi="宋体" w:cs="宋体"/>
                <w:sz w:val="24"/>
              </w:rPr>
              <w:t>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动物仿真室</w:t>
            </w:r>
          </w:p>
        </w:tc>
        <w:tc>
          <w:tcPr>
            <w:tcW w:w="1737" w:type="dxa"/>
            <w:vAlign w:val="center"/>
          </w:tcPr>
          <w:p>
            <w:pPr>
              <w:jc w:val="center"/>
              <w:rPr>
                <w:rFonts w:ascii="宋体" w:hAnsi="宋体" w:cs="宋体"/>
                <w:sz w:val="24"/>
              </w:rPr>
            </w:pPr>
            <w:r>
              <w:rPr>
                <w:rFonts w:hint="eastAsia" w:ascii="宋体" w:hAnsi="宋体" w:cs="宋体"/>
                <w:sz w:val="24"/>
              </w:rPr>
              <w:t>50</w:t>
            </w:r>
          </w:p>
        </w:tc>
        <w:tc>
          <w:tcPr>
            <w:tcW w:w="2235" w:type="dxa"/>
            <w:vAlign w:val="center"/>
          </w:tcPr>
          <w:p>
            <w:pPr>
              <w:jc w:val="center"/>
              <w:rPr>
                <w:rFonts w:ascii="宋体" w:hAnsi="宋体" w:cs="宋体"/>
                <w:sz w:val="24"/>
              </w:rPr>
            </w:pPr>
            <w:r>
              <w:rPr>
                <w:rFonts w:hint="eastAsia" w:ascii="宋体" w:hAnsi="宋体" w:cs="宋体"/>
                <w:sz w:val="24"/>
              </w:rPr>
              <w:t>动物仿真</w:t>
            </w:r>
          </w:p>
        </w:tc>
        <w:tc>
          <w:tcPr>
            <w:tcW w:w="1905" w:type="dxa"/>
            <w:vAlign w:val="center"/>
          </w:tcPr>
          <w:p>
            <w:pPr>
              <w:jc w:val="center"/>
              <w:rPr>
                <w:rFonts w:ascii="宋体" w:hAnsi="宋体" w:cs="宋体"/>
                <w:sz w:val="24"/>
              </w:rPr>
            </w:pPr>
            <w:r>
              <w:rPr>
                <w:rFonts w:hint="eastAsia" w:ascii="宋体" w:hAnsi="宋体" w:cs="宋体"/>
                <w:sz w:val="24"/>
              </w:rPr>
              <w:t>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藏医成药加工实训室</w:t>
            </w:r>
          </w:p>
        </w:tc>
        <w:tc>
          <w:tcPr>
            <w:tcW w:w="1737" w:type="dxa"/>
            <w:vAlign w:val="center"/>
          </w:tcPr>
          <w:p>
            <w:pPr>
              <w:jc w:val="center"/>
              <w:rPr>
                <w:rFonts w:ascii="宋体" w:hAnsi="宋体" w:cs="宋体"/>
                <w:sz w:val="24"/>
              </w:rPr>
            </w:pPr>
            <w:r>
              <w:rPr>
                <w:rFonts w:hint="eastAsia" w:ascii="宋体" w:hAnsi="宋体" w:cs="宋体"/>
                <w:sz w:val="24"/>
              </w:rPr>
              <w:t>130</w:t>
            </w:r>
          </w:p>
        </w:tc>
        <w:tc>
          <w:tcPr>
            <w:tcW w:w="2235" w:type="dxa"/>
            <w:vAlign w:val="center"/>
          </w:tcPr>
          <w:p>
            <w:pPr>
              <w:jc w:val="center"/>
              <w:rPr>
                <w:rFonts w:ascii="宋体" w:hAnsi="宋体" w:cs="宋体"/>
                <w:sz w:val="24"/>
              </w:rPr>
            </w:pPr>
            <w:r>
              <w:rPr>
                <w:rFonts w:hint="eastAsia" w:ascii="宋体" w:hAnsi="宋体" w:cs="宋体"/>
                <w:sz w:val="24"/>
              </w:rPr>
              <w:t>藏医成药加工实训</w:t>
            </w:r>
          </w:p>
        </w:tc>
        <w:tc>
          <w:tcPr>
            <w:tcW w:w="1905" w:type="dxa"/>
            <w:vAlign w:val="center"/>
          </w:tcPr>
          <w:p>
            <w:pPr>
              <w:jc w:val="center"/>
              <w:rPr>
                <w:rFonts w:ascii="宋体" w:hAnsi="宋体" w:cs="宋体"/>
                <w:sz w:val="24"/>
              </w:rPr>
            </w:pPr>
            <w:r>
              <w:rPr>
                <w:rFonts w:hint="eastAsia" w:ascii="宋体" w:hAnsi="宋体" w:cs="宋体"/>
                <w:sz w:val="24"/>
              </w:rPr>
              <w:t>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jc w:val="center"/>
              <w:rPr>
                <w:rFonts w:ascii="宋体" w:hAnsi="宋体" w:cs="宋体"/>
                <w:sz w:val="24"/>
              </w:rPr>
            </w:pPr>
            <w:r>
              <w:rPr>
                <w:rFonts w:hint="eastAsia" w:ascii="宋体" w:hAnsi="宋体" w:cs="宋体"/>
                <w:sz w:val="24"/>
              </w:rPr>
              <w:t>藏医矿物加工室</w:t>
            </w:r>
          </w:p>
        </w:tc>
        <w:tc>
          <w:tcPr>
            <w:tcW w:w="1737" w:type="dxa"/>
            <w:vAlign w:val="center"/>
          </w:tcPr>
          <w:p>
            <w:pPr>
              <w:jc w:val="center"/>
              <w:rPr>
                <w:rFonts w:ascii="宋体" w:hAnsi="宋体" w:cs="宋体"/>
                <w:sz w:val="24"/>
              </w:rPr>
            </w:pPr>
            <w:r>
              <w:rPr>
                <w:rFonts w:hint="eastAsia" w:ascii="宋体" w:hAnsi="宋体" w:cs="宋体"/>
                <w:sz w:val="24"/>
              </w:rPr>
              <w:t>50</w:t>
            </w:r>
          </w:p>
        </w:tc>
        <w:tc>
          <w:tcPr>
            <w:tcW w:w="2235" w:type="dxa"/>
            <w:vAlign w:val="center"/>
          </w:tcPr>
          <w:p>
            <w:pPr>
              <w:jc w:val="center"/>
              <w:rPr>
                <w:rFonts w:ascii="宋体" w:hAnsi="宋体" w:cs="宋体"/>
                <w:sz w:val="24"/>
              </w:rPr>
            </w:pPr>
            <w:r>
              <w:rPr>
                <w:rFonts w:hint="eastAsia" w:ascii="宋体" w:hAnsi="宋体" w:cs="宋体"/>
                <w:sz w:val="24"/>
              </w:rPr>
              <w:t>藏医矿物加工</w:t>
            </w:r>
          </w:p>
        </w:tc>
        <w:tc>
          <w:tcPr>
            <w:tcW w:w="1905" w:type="dxa"/>
            <w:vAlign w:val="center"/>
          </w:tcPr>
          <w:p>
            <w:pPr>
              <w:jc w:val="center"/>
              <w:rPr>
                <w:rFonts w:ascii="宋体" w:hAnsi="宋体" w:cs="宋体"/>
                <w:sz w:val="24"/>
              </w:rPr>
            </w:pPr>
            <w:r>
              <w:rPr>
                <w:rFonts w:hint="eastAsia" w:ascii="宋体" w:hAnsi="宋体" w:cs="宋体"/>
                <w:sz w:val="24"/>
              </w:rPr>
              <w:t>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若尔盖红星乡农牧实训基地</w:t>
            </w:r>
          </w:p>
        </w:tc>
        <w:tc>
          <w:tcPr>
            <w:tcW w:w="1737" w:type="dxa"/>
            <w:vAlign w:val="center"/>
          </w:tcPr>
          <w:p>
            <w:pPr>
              <w:jc w:val="center"/>
              <w:rPr>
                <w:rFonts w:ascii="宋体" w:hAnsi="宋体" w:cs="宋体"/>
                <w:sz w:val="24"/>
              </w:rPr>
            </w:pPr>
            <w:r>
              <w:rPr>
                <w:rFonts w:hint="eastAsia" w:ascii="宋体" w:hAnsi="宋体" w:cs="宋体"/>
                <w:sz w:val="24"/>
              </w:rPr>
              <w:t>600</w:t>
            </w:r>
          </w:p>
        </w:tc>
        <w:tc>
          <w:tcPr>
            <w:tcW w:w="2235" w:type="dxa"/>
            <w:vAlign w:val="center"/>
          </w:tcPr>
          <w:p>
            <w:pPr>
              <w:jc w:val="center"/>
              <w:rPr>
                <w:rFonts w:ascii="宋体" w:hAnsi="宋体" w:cs="宋体"/>
                <w:sz w:val="24"/>
              </w:rPr>
            </w:pPr>
            <w:r>
              <w:rPr>
                <w:rFonts w:hint="eastAsia" w:ascii="宋体" w:hAnsi="宋体" w:cs="宋体"/>
                <w:sz w:val="24"/>
              </w:rPr>
              <w:t>高原畜牧综合实训</w:t>
            </w:r>
          </w:p>
        </w:tc>
        <w:tc>
          <w:tcPr>
            <w:tcW w:w="1905" w:type="dxa"/>
            <w:vAlign w:val="center"/>
          </w:tcPr>
          <w:p>
            <w:pPr>
              <w:jc w:val="center"/>
              <w:rPr>
                <w:rFonts w:ascii="宋体" w:hAnsi="宋体" w:cs="宋体"/>
                <w:sz w:val="24"/>
              </w:rPr>
            </w:pPr>
            <w:r>
              <w:rPr>
                <w:rFonts w:hint="eastAsia" w:ascii="宋体" w:hAnsi="宋体" w:cs="宋体"/>
                <w:sz w:val="24"/>
              </w:rPr>
              <w:t>畜牧兽医藏兽医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电工实训室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jc w:val="center"/>
              <w:rPr>
                <w:rFonts w:ascii="宋体" w:hAnsi="宋体" w:cs="宋体"/>
                <w:sz w:val="24"/>
              </w:rPr>
            </w:pPr>
            <w:r>
              <w:rPr>
                <w:rFonts w:hint="eastAsia" w:ascii="宋体" w:hAnsi="宋体" w:cs="宋体"/>
                <w:sz w:val="24"/>
              </w:rPr>
              <w:t>电工工艺实训</w:t>
            </w:r>
          </w:p>
        </w:tc>
        <w:tc>
          <w:tcPr>
            <w:tcW w:w="1905" w:type="dxa"/>
            <w:vAlign w:val="center"/>
          </w:tcPr>
          <w:p>
            <w:pPr>
              <w:jc w:val="center"/>
              <w:rPr>
                <w:rFonts w:ascii="宋体" w:hAnsi="宋体" w:cs="宋体"/>
                <w:sz w:val="24"/>
              </w:rPr>
            </w:pPr>
            <w:r>
              <w:rPr>
                <w:rFonts w:hint="eastAsia" w:ascii="宋体" w:hAnsi="宋体" w:cs="宋体"/>
                <w:sz w:val="24"/>
              </w:rPr>
              <w:t>机电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电子电工综合实训室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jc w:val="center"/>
              <w:rPr>
                <w:rFonts w:ascii="宋体" w:hAnsi="宋体" w:cs="宋体"/>
                <w:sz w:val="24"/>
              </w:rPr>
            </w:pPr>
            <w:r>
              <w:rPr>
                <w:rFonts w:hint="eastAsia" w:ascii="宋体" w:hAnsi="宋体" w:cs="宋体"/>
                <w:sz w:val="24"/>
              </w:rPr>
              <w:t>电子实训</w:t>
            </w:r>
          </w:p>
        </w:tc>
        <w:tc>
          <w:tcPr>
            <w:tcW w:w="1905" w:type="dxa"/>
            <w:vAlign w:val="center"/>
          </w:tcPr>
          <w:p>
            <w:pPr>
              <w:jc w:val="center"/>
              <w:rPr>
                <w:rFonts w:ascii="宋体" w:hAnsi="宋体" w:cs="宋体"/>
                <w:sz w:val="24"/>
              </w:rPr>
            </w:pPr>
            <w:r>
              <w:rPr>
                <w:rFonts w:hint="eastAsia" w:ascii="宋体" w:hAnsi="宋体" w:cs="宋体"/>
                <w:sz w:val="24"/>
              </w:rPr>
              <w:t>机电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车工实训室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jc w:val="center"/>
              <w:rPr>
                <w:rFonts w:ascii="宋体" w:hAnsi="宋体" w:cs="宋体"/>
                <w:sz w:val="24"/>
              </w:rPr>
            </w:pPr>
            <w:r>
              <w:rPr>
                <w:rFonts w:hint="eastAsia" w:ascii="宋体" w:hAnsi="宋体" w:cs="宋体"/>
                <w:sz w:val="24"/>
              </w:rPr>
              <w:t>普车机加工实训</w:t>
            </w:r>
          </w:p>
        </w:tc>
        <w:tc>
          <w:tcPr>
            <w:tcW w:w="1905" w:type="dxa"/>
            <w:vAlign w:val="center"/>
          </w:tcPr>
          <w:p>
            <w:pPr>
              <w:jc w:val="center"/>
              <w:rPr>
                <w:rFonts w:ascii="宋体" w:hAnsi="宋体" w:cs="宋体"/>
                <w:sz w:val="24"/>
              </w:rPr>
            </w:pPr>
            <w:r>
              <w:rPr>
                <w:rFonts w:hint="eastAsia" w:ascii="宋体" w:hAnsi="宋体" w:cs="宋体"/>
                <w:sz w:val="24"/>
              </w:rPr>
              <w:t>机电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数控实训室</w:t>
            </w:r>
          </w:p>
        </w:tc>
        <w:tc>
          <w:tcPr>
            <w:tcW w:w="1737" w:type="dxa"/>
            <w:vAlign w:val="center"/>
          </w:tcPr>
          <w:p>
            <w:pPr>
              <w:jc w:val="center"/>
              <w:rPr>
                <w:rFonts w:ascii="宋体" w:hAnsi="宋体" w:cs="宋体"/>
                <w:sz w:val="24"/>
              </w:rPr>
            </w:pPr>
            <w:r>
              <w:rPr>
                <w:rFonts w:hint="eastAsia" w:ascii="宋体" w:hAnsi="宋体" w:cs="宋体"/>
                <w:sz w:val="24"/>
              </w:rPr>
              <w:t>140</w:t>
            </w:r>
          </w:p>
        </w:tc>
        <w:tc>
          <w:tcPr>
            <w:tcW w:w="2235" w:type="dxa"/>
            <w:vAlign w:val="center"/>
          </w:tcPr>
          <w:p>
            <w:pPr>
              <w:jc w:val="center"/>
              <w:rPr>
                <w:rFonts w:ascii="宋体" w:hAnsi="宋体" w:cs="宋体"/>
                <w:sz w:val="24"/>
              </w:rPr>
            </w:pPr>
            <w:r>
              <w:rPr>
                <w:rFonts w:hint="eastAsia" w:ascii="宋体" w:hAnsi="宋体" w:cs="宋体"/>
                <w:sz w:val="24"/>
              </w:rPr>
              <w:t>数控车床加工实训</w:t>
            </w:r>
          </w:p>
        </w:tc>
        <w:tc>
          <w:tcPr>
            <w:tcW w:w="1905" w:type="dxa"/>
            <w:vAlign w:val="center"/>
          </w:tcPr>
          <w:p>
            <w:pPr>
              <w:jc w:val="center"/>
              <w:rPr>
                <w:rFonts w:ascii="宋体" w:hAnsi="宋体" w:cs="宋体"/>
                <w:sz w:val="24"/>
              </w:rPr>
            </w:pPr>
            <w:r>
              <w:rPr>
                <w:rFonts w:hint="eastAsia" w:ascii="宋体" w:hAnsi="宋体" w:cs="宋体"/>
                <w:sz w:val="24"/>
              </w:rPr>
              <w:t>机电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钳工实训室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jc w:val="center"/>
              <w:rPr>
                <w:rFonts w:ascii="宋体" w:hAnsi="宋体" w:cs="宋体"/>
                <w:sz w:val="24"/>
              </w:rPr>
            </w:pPr>
            <w:r>
              <w:rPr>
                <w:rFonts w:hint="eastAsia" w:ascii="宋体" w:hAnsi="宋体" w:cs="宋体"/>
                <w:sz w:val="24"/>
              </w:rPr>
              <w:t>钳工实训</w:t>
            </w:r>
          </w:p>
        </w:tc>
        <w:tc>
          <w:tcPr>
            <w:tcW w:w="1905" w:type="dxa"/>
            <w:vAlign w:val="center"/>
          </w:tcPr>
          <w:p>
            <w:pPr>
              <w:jc w:val="center"/>
              <w:rPr>
                <w:rFonts w:ascii="宋体" w:hAnsi="宋体" w:cs="宋体"/>
                <w:sz w:val="24"/>
              </w:rPr>
            </w:pPr>
            <w:r>
              <w:rPr>
                <w:rFonts w:hint="eastAsia" w:ascii="宋体" w:hAnsi="宋体" w:cs="宋体"/>
                <w:sz w:val="24"/>
              </w:rPr>
              <w:t>机电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PLC编程控制实训室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jc w:val="center"/>
              <w:rPr>
                <w:rFonts w:ascii="宋体" w:hAnsi="宋体" w:cs="宋体"/>
                <w:sz w:val="24"/>
              </w:rPr>
            </w:pPr>
            <w:r>
              <w:rPr>
                <w:rFonts w:hint="eastAsia" w:ascii="宋体" w:hAnsi="宋体" w:cs="宋体"/>
                <w:sz w:val="24"/>
              </w:rPr>
              <w:t>PLC编程实训</w:t>
            </w:r>
          </w:p>
        </w:tc>
        <w:tc>
          <w:tcPr>
            <w:tcW w:w="1905" w:type="dxa"/>
            <w:vAlign w:val="center"/>
          </w:tcPr>
          <w:p>
            <w:pPr>
              <w:jc w:val="center"/>
              <w:rPr>
                <w:rFonts w:ascii="宋体" w:hAnsi="宋体" w:cs="宋体"/>
                <w:sz w:val="24"/>
              </w:rPr>
            </w:pPr>
            <w:r>
              <w:rPr>
                <w:rFonts w:hint="eastAsia" w:ascii="宋体" w:hAnsi="宋体" w:cs="宋体"/>
                <w:sz w:val="24"/>
              </w:rPr>
              <w:t>机电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电气设备安装与调试实训室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jc w:val="center"/>
              <w:rPr>
                <w:rFonts w:ascii="宋体" w:hAnsi="宋体" w:cs="宋体"/>
                <w:sz w:val="24"/>
              </w:rPr>
            </w:pPr>
            <w:r>
              <w:rPr>
                <w:rFonts w:hint="eastAsia" w:ascii="宋体" w:hAnsi="宋体" w:cs="宋体"/>
                <w:sz w:val="24"/>
              </w:rPr>
              <w:t>电气设备安装与调试实训</w:t>
            </w:r>
          </w:p>
        </w:tc>
        <w:tc>
          <w:tcPr>
            <w:tcW w:w="1905" w:type="dxa"/>
            <w:vAlign w:val="center"/>
          </w:tcPr>
          <w:p>
            <w:pPr>
              <w:jc w:val="center"/>
              <w:rPr>
                <w:rFonts w:ascii="宋体" w:hAnsi="宋体" w:cs="宋体"/>
                <w:sz w:val="24"/>
              </w:rPr>
            </w:pPr>
            <w:r>
              <w:rPr>
                <w:rFonts w:hint="eastAsia" w:ascii="宋体" w:hAnsi="宋体" w:cs="宋体"/>
                <w:sz w:val="24"/>
              </w:rPr>
              <w:t>机电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电子技术实训室</w:t>
            </w:r>
          </w:p>
        </w:tc>
        <w:tc>
          <w:tcPr>
            <w:tcW w:w="1737" w:type="dxa"/>
            <w:vAlign w:val="center"/>
          </w:tcPr>
          <w:p>
            <w:pPr>
              <w:jc w:val="center"/>
              <w:rPr>
                <w:rFonts w:ascii="宋体" w:hAnsi="宋体" w:cs="宋体"/>
                <w:sz w:val="24"/>
              </w:rPr>
            </w:pPr>
            <w:r>
              <w:rPr>
                <w:rFonts w:hint="eastAsia" w:ascii="宋体" w:hAnsi="宋体" w:cs="宋体"/>
                <w:sz w:val="24"/>
              </w:rPr>
              <w:t>70</w:t>
            </w:r>
          </w:p>
        </w:tc>
        <w:tc>
          <w:tcPr>
            <w:tcW w:w="2235" w:type="dxa"/>
            <w:vAlign w:val="center"/>
          </w:tcPr>
          <w:p>
            <w:pPr>
              <w:jc w:val="center"/>
              <w:rPr>
                <w:rFonts w:ascii="宋体" w:hAnsi="宋体" w:cs="宋体"/>
                <w:sz w:val="24"/>
              </w:rPr>
            </w:pPr>
            <w:r>
              <w:rPr>
                <w:rFonts w:hint="eastAsia" w:ascii="宋体" w:hAnsi="宋体" w:cs="宋体"/>
                <w:sz w:val="24"/>
              </w:rPr>
              <w:t>电子技能实训</w:t>
            </w:r>
          </w:p>
        </w:tc>
        <w:tc>
          <w:tcPr>
            <w:tcW w:w="1905" w:type="dxa"/>
            <w:vAlign w:val="center"/>
          </w:tcPr>
          <w:p>
            <w:pPr>
              <w:jc w:val="center"/>
              <w:rPr>
                <w:rFonts w:ascii="宋体" w:hAnsi="宋体" w:cs="宋体"/>
                <w:sz w:val="24"/>
              </w:rPr>
            </w:pPr>
            <w:r>
              <w:rPr>
                <w:rFonts w:hint="eastAsia" w:ascii="宋体" w:hAnsi="宋体" w:cs="宋体"/>
                <w:sz w:val="24"/>
              </w:rPr>
              <w:t>机电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焊工实训室</w:t>
            </w:r>
          </w:p>
        </w:tc>
        <w:tc>
          <w:tcPr>
            <w:tcW w:w="1737" w:type="dxa"/>
            <w:vAlign w:val="center"/>
          </w:tcPr>
          <w:p>
            <w:pPr>
              <w:jc w:val="center"/>
              <w:rPr>
                <w:rFonts w:ascii="宋体" w:hAnsi="宋体" w:cs="宋体"/>
                <w:sz w:val="24"/>
              </w:rPr>
            </w:pPr>
            <w:r>
              <w:rPr>
                <w:rFonts w:hint="eastAsia" w:ascii="宋体" w:hAnsi="宋体" w:cs="宋体"/>
                <w:sz w:val="24"/>
              </w:rPr>
              <w:t>100</w:t>
            </w:r>
          </w:p>
        </w:tc>
        <w:tc>
          <w:tcPr>
            <w:tcW w:w="2235" w:type="dxa"/>
            <w:vAlign w:val="center"/>
          </w:tcPr>
          <w:p>
            <w:pPr>
              <w:jc w:val="center"/>
              <w:rPr>
                <w:rFonts w:ascii="宋体" w:hAnsi="宋体" w:cs="宋体"/>
                <w:sz w:val="24"/>
              </w:rPr>
            </w:pPr>
            <w:r>
              <w:rPr>
                <w:rFonts w:hint="eastAsia" w:ascii="宋体" w:hAnsi="宋体" w:cs="宋体"/>
                <w:sz w:val="24"/>
              </w:rPr>
              <w:t>焊工实训</w:t>
            </w:r>
          </w:p>
        </w:tc>
        <w:tc>
          <w:tcPr>
            <w:tcW w:w="1905" w:type="dxa"/>
            <w:vAlign w:val="center"/>
          </w:tcPr>
          <w:p>
            <w:pPr>
              <w:jc w:val="center"/>
              <w:rPr>
                <w:rFonts w:ascii="宋体" w:hAnsi="宋体" w:cs="宋体"/>
                <w:sz w:val="24"/>
              </w:rPr>
            </w:pPr>
            <w:r>
              <w:rPr>
                <w:rFonts w:hint="eastAsia" w:ascii="宋体" w:hAnsi="宋体" w:cs="宋体"/>
                <w:sz w:val="24"/>
              </w:rPr>
              <w:t>机电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练功房</w:t>
            </w:r>
          </w:p>
        </w:tc>
        <w:tc>
          <w:tcPr>
            <w:tcW w:w="1737" w:type="dxa"/>
            <w:vAlign w:val="center"/>
          </w:tcPr>
          <w:p>
            <w:pPr>
              <w:jc w:val="center"/>
              <w:rPr>
                <w:rFonts w:ascii="宋体" w:hAnsi="宋体" w:cs="宋体"/>
                <w:sz w:val="24"/>
              </w:rPr>
            </w:pPr>
            <w:r>
              <w:rPr>
                <w:rFonts w:hint="eastAsia" w:ascii="宋体" w:hAnsi="宋体" w:cs="宋体"/>
                <w:sz w:val="24"/>
              </w:rPr>
              <w:t>900</w:t>
            </w:r>
          </w:p>
        </w:tc>
        <w:tc>
          <w:tcPr>
            <w:tcW w:w="2235" w:type="dxa"/>
            <w:vAlign w:val="center"/>
          </w:tcPr>
          <w:p>
            <w:pPr>
              <w:jc w:val="center"/>
              <w:rPr>
                <w:rFonts w:ascii="宋体" w:hAnsi="宋体" w:cs="宋体"/>
                <w:sz w:val="24"/>
              </w:rPr>
            </w:pPr>
            <w:r>
              <w:rPr>
                <w:rFonts w:hint="eastAsia" w:ascii="宋体" w:hAnsi="宋体" w:cs="宋体"/>
                <w:sz w:val="24"/>
              </w:rPr>
              <w:t>基训、民舞实训</w:t>
            </w:r>
          </w:p>
        </w:tc>
        <w:tc>
          <w:tcPr>
            <w:tcW w:w="1905" w:type="dxa"/>
            <w:vAlign w:val="center"/>
          </w:tcPr>
          <w:p>
            <w:pPr>
              <w:jc w:val="center"/>
              <w:rPr>
                <w:rFonts w:ascii="宋体" w:hAnsi="宋体" w:cs="宋体"/>
                <w:sz w:val="24"/>
              </w:rPr>
            </w:pPr>
            <w:r>
              <w:rPr>
                <w:rFonts w:hint="eastAsia" w:ascii="宋体" w:hAnsi="宋体" w:cs="宋体"/>
                <w:sz w:val="24"/>
              </w:rPr>
              <w:t>藏羌歌舞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琴房</w:t>
            </w:r>
          </w:p>
        </w:tc>
        <w:tc>
          <w:tcPr>
            <w:tcW w:w="1737" w:type="dxa"/>
            <w:vAlign w:val="center"/>
          </w:tcPr>
          <w:p>
            <w:pPr>
              <w:jc w:val="center"/>
              <w:rPr>
                <w:rFonts w:ascii="宋体" w:hAnsi="宋体" w:cs="宋体"/>
                <w:sz w:val="24"/>
              </w:rPr>
            </w:pPr>
            <w:r>
              <w:rPr>
                <w:rFonts w:hint="eastAsia" w:ascii="宋体" w:hAnsi="宋体" w:cs="宋体"/>
                <w:sz w:val="24"/>
              </w:rPr>
              <w:t>320</w:t>
            </w:r>
          </w:p>
        </w:tc>
        <w:tc>
          <w:tcPr>
            <w:tcW w:w="2235" w:type="dxa"/>
            <w:vAlign w:val="center"/>
          </w:tcPr>
          <w:p>
            <w:pPr>
              <w:jc w:val="center"/>
              <w:rPr>
                <w:rFonts w:ascii="宋体" w:hAnsi="宋体" w:cs="宋体"/>
                <w:sz w:val="24"/>
              </w:rPr>
            </w:pPr>
            <w:r>
              <w:rPr>
                <w:rFonts w:hint="eastAsia" w:ascii="宋体" w:hAnsi="宋体" w:cs="宋体"/>
                <w:sz w:val="24"/>
              </w:rPr>
              <w:t>钢琴实训</w:t>
            </w:r>
          </w:p>
        </w:tc>
        <w:tc>
          <w:tcPr>
            <w:tcW w:w="1905" w:type="dxa"/>
            <w:vAlign w:val="center"/>
          </w:tcPr>
          <w:p>
            <w:pPr>
              <w:jc w:val="center"/>
              <w:rPr>
                <w:rFonts w:ascii="宋体" w:hAnsi="宋体" w:cs="宋体"/>
                <w:sz w:val="24"/>
              </w:rPr>
            </w:pPr>
            <w:r>
              <w:rPr>
                <w:rFonts w:hint="eastAsia" w:ascii="宋体" w:hAnsi="宋体" w:cs="宋体"/>
                <w:sz w:val="24"/>
              </w:rPr>
              <w:t>藏羌歌舞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视唱练耳教室</w:t>
            </w:r>
          </w:p>
        </w:tc>
        <w:tc>
          <w:tcPr>
            <w:tcW w:w="1737" w:type="dxa"/>
            <w:vAlign w:val="center"/>
          </w:tcPr>
          <w:p>
            <w:pPr>
              <w:jc w:val="center"/>
              <w:rPr>
                <w:rFonts w:ascii="宋体" w:hAnsi="宋体" w:cs="宋体"/>
                <w:sz w:val="24"/>
              </w:rPr>
            </w:pPr>
            <w:r>
              <w:rPr>
                <w:rFonts w:hint="eastAsia" w:ascii="宋体" w:hAnsi="宋体" w:cs="宋体"/>
                <w:sz w:val="24"/>
              </w:rPr>
              <w:t>45</w:t>
            </w:r>
          </w:p>
        </w:tc>
        <w:tc>
          <w:tcPr>
            <w:tcW w:w="2235" w:type="dxa"/>
            <w:vAlign w:val="center"/>
          </w:tcPr>
          <w:p>
            <w:pPr>
              <w:jc w:val="center"/>
              <w:rPr>
                <w:rFonts w:ascii="宋体" w:hAnsi="宋体" w:cs="宋体"/>
                <w:sz w:val="24"/>
              </w:rPr>
            </w:pPr>
            <w:r>
              <w:rPr>
                <w:rFonts w:hint="eastAsia" w:ascii="宋体" w:hAnsi="宋体" w:cs="宋体"/>
                <w:sz w:val="24"/>
              </w:rPr>
              <w:t>试唱练耳专用教室</w:t>
            </w:r>
          </w:p>
        </w:tc>
        <w:tc>
          <w:tcPr>
            <w:tcW w:w="1905" w:type="dxa"/>
            <w:vAlign w:val="center"/>
          </w:tcPr>
          <w:p>
            <w:pPr>
              <w:jc w:val="center"/>
              <w:rPr>
                <w:rFonts w:ascii="宋体" w:hAnsi="宋体" w:cs="宋体"/>
                <w:sz w:val="24"/>
              </w:rPr>
            </w:pPr>
            <w:r>
              <w:rPr>
                <w:rFonts w:hint="eastAsia" w:ascii="宋体" w:hAnsi="宋体" w:cs="宋体"/>
                <w:sz w:val="24"/>
              </w:rPr>
              <w:t>藏羌歌舞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民乐教室</w:t>
            </w:r>
          </w:p>
        </w:tc>
        <w:tc>
          <w:tcPr>
            <w:tcW w:w="1737" w:type="dxa"/>
            <w:vAlign w:val="center"/>
          </w:tcPr>
          <w:p>
            <w:pPr>
              <w:jc w:val="center"/>
              <w:rPr>
                <w:rFonts w:ascii="宋体" w:hAnsi="宋体" w:cs="宋体"/>
                <w:sz w:val="24"/>
              </w:rPr>
            </w:pPr>
            <w:r>
              <w:rPr>
                <w:rFonts w:hint="eastAsia" w:ascii="宋体" w:hAnsi="宋体" w:cs="宋体"/>
                <w:sz w:val="24"/>
              </w:rPr>
              <w:t>60</w:t>
            </w:r>
          </w:p>
        </w:tc>
        <w:tc>
          <w:tcPr>
            <w:tcW w:w="2235" w:type="dxa"/>
            <w:vAlign w:val="center"/>
          </w:tcPr>
          <w:p>
            <w:pPr>
              <w:jc w:val="center"/>
              <w:rPr>
                <w:rFonts w:ascii="宋体" w:hAnsi="宋体" w:cs="宋体"/>
                <w:sz w:val="24"/>
              </w:rPr>
            </w:pPr>
            <w:r>
              <w:rPr>
                <w:rFonts w:hint="eastAsia" w:ascii="宋体" w:hAnsi="宋体" w:cs="宋体"/>
                <w:sz w:val="24"/>
              </w:rPr>
              <w:t>民乐实训室</w:t>
            </w:r>
          </w:p>
        </w:tc>
        <w:tc>
          <w:tcPr>
            <w:tcW w:w="1905" w:type="dxa"/>
            <w:vAlign w:val="center"/>
          </w:tcPr>
          <w:p>
            <w:pPr>
              <w:jc w:val="center"/>
              <w:rPr>
                <w:rFonts w:ascii="宋体" w:hAnsi="宋体" w:cs="宋体"/>
                <w:sz w:val="24"/>
              </w:rPr>
            </w:pPr>
            <w:r>
              <w:rPr>
                <w:rFonts w:hint="eastAsia" w:ascii="宋体" w:hAnsi="宋体" w:cs="宋体"/>
                <w:sz w:val="24"/>
              </w:rPr>
              <w:t>藏羌歌舞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唐卡画室、展室</w:t>
            </w:r>
          </w:p>
        </w:tc>
        <w:tc>
          <w:tcPr>
            <w:tcW w:w="1737" w:type="dxa"/>
            <w:vAlign w:val="center"/>
          </w:tcPr>
          <w:p>
            <w:pPr>
              <w:jc w:val="center"/>
              <w:rPr>
                <w:rFonts w:ascii="宋体" w:hAnsi="宋体" w:cs="宋体"/>
                <w:sz w:val="24"/>
              </w:rPr>
            </w:pPr>
            <w:r>
              <w:rPr>
                <w:rFonts w:hint="eastAsia" w:ascii="宋体" w:hAnsi="宋体" w:cs="宋体"/>
                <w:sz w:val="24"/>
              </w:rPr>
              <w:t>120</w:t>
            </w:r>
          </w:p>
        </w:tc>
        <w:tc>
          <w:tcPr>
            <w:tcW w:w="2235" w:type="dxa"/>
            <w:vAlign w:val="center"/>
          </w:tcPr>
          <w:p>
            <w:pPr>
              <w:jc w:val="center"/>
              <w:rPr>
                <w:rFonts w:ascii="宋体" w:hAnsi="宋体" w:cs="宋体"/>
                <w:sz w:val="24"/>
              </w:rPr>
            </w:pPr>
            <w:r>
              <w:rPr>
                <w:rFonts w:hint="eastAsia" w:ascii="宋体" w:hAnsi="宋体" w:cs="宋体"/>
                <w:sz w:val="24"/>
              </w:rPr>
              <w:t>唐卡展室</w:t>
            </w:r>
          </w:p>
        </w:tc>
        <w:tc>
          <w:tcPr>
            <w:tcW w:w="1905" w:type="dxa"/>
            <w:vAlign w:val="center"/>
          </w:tcPr>
          <w:p>
            <w:pPr>
              <w:jc w:val="center"/>
              <w:rPr>
                <w:rFonts w:ascii="宋体" w:hAnsi="宋体" w:cs="宋体"/>
                <w:sz w:val="24"/>
              </w:rPr>
            </w:pPr>
            <w:r>
              <w:rPr>
                <w:rFonts w:hint="eastAsia" w:ascii="宋体" w:hAnsi="宋体" w:cs="宋体"/>
                <w:sz w:val="24"/>
              </w:rPr>
              <w:t>唐卡绘画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美术画室</w:t>
            </w:r>
          </w:p>
        </w:tc>
        <w:tc>
          <w:tcPr>
            <w:tcW w:w="1737" w:type="dxa"/>
            <w:vAlign w:val="center"/>
          </w:tcPr>
          <w:p>
            <w:pPr>
              <w:jc w:val="center"/>
              <w:rPr>
                <w:rFonts w:ascii="宋体" w:hAnsi="宋体" w:cs="宋体"/>
                <w:sz w:val="24"/>
              </w:rPr>
            </w:pPr>
            <w:r>
              <w:rPr>
                <w:rFonts w:hint="eastAsia" w:ascii="宋体" w:hAnsi="宋体" w:cs="宋体"/>
                <w:sz w:val="24"/>
              </w:rPr>
              <w:t>60</w:t>
            </w:r>
          </w:p>
        </w:tc>
        <w:tc>
          <w:tcPr>
            <w:tcW w:w="2235" w:type="dxa"/>
            <w:vAlign w:val="center"/>
          </w:tcPr>
          <w:p>
            <w:pPr>
              <w:widowControl/>
              <w:jc w:val="center"/>
              <w:rPr>
                <w:rFonts w:ascii="宋体" w:hAnsi="宋体" w:cs="宋体"/>
                <w:sz w:val="24"/>
              </w:rPr>
            </w:pPr>
            <w:r>
              <w:rPr>
                <w:rFonts w:hint="eastAsia" w:ascii="宋体" w:hAnsi="宋体" w:cs="宋体"/>
                <w:sz w:val="24"/>
              </w:rPr>
              <w:t>美术画室</w:t>
            </w:r>
          </w:p>
          <w:p>
            <w:pPr>
              <w:jc w:val="center"/>
              <w:rPr>
                <w:rFonts w:ascii="宋体" w:hAnsi="宋体" w:cs="宋体"/>
                <w:sz w:val="24"/>
              </w:rPr>
            </w:pPr>
          </w:p>
        </w:tc>
        <w:tc>
          <w:tcPr>
            <w:tcW w:w="1905" w:type="dxa"/>
            <w:vAlign w:val="center"/>
          </w:tcPr>
          <w:p>
            <w:pPr>
              <w:jc w:val="center"/>
              <w:rPr>
                <w:rFonts w:ascii="宋体" w:hAnsi="宋体" w:cs="宋体"/>
                <w:sz w:val="24"/>
              </w:rPr>
            </w:pPr>
            <w:r>
              <w:rPr>
                <w:rFonts w:hint="eastAsia" w:ascii="宋体" w:hAnsi="宋体" w:cs="宋体"/>
                <w:sz w:val="24"/>
              </w:rPr>
              <w:t>唐卡绘画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让烔制作室</w:t>
            </w:r>
          </w:p>
        </w:tc>
        <w:tc>
          <w:tcPr>
            <w:tcW w:w="1737" w:type="dxa"/>
            <w:vAlign w:val="center"/>
          </w:tcPr>
          <w:p>
            <w:pPr>
              <w:jc w:val="center"/>
              <w:rPr>
                <w:rFonts w:ascii="宋体" w:hAnsi="宋体" w:cs="宋体"/>
                <w:sz w:val="24"/>
              </w:rPr>
            </w:pPr>
            <w:r>
              <w:rPr>
                <w:rFonts w:hint="eastAsia" w:ascii="宋体" w:hAnsi="宋体" w:cs="宋体"/>
                <w:sz w:val="24"/>
              </w:rPr>
              <w:t>60</w:t>
            </w:r>
          </w:p>
        </w:tc>
        <w:tc>
          <w:tcPr>
            <w:tcW w:w="2235" w:type="dxa"/>
            <w:vAlign w:val="center"/>
          </w:tcPr>
          <w:p>
            <w:pPr>
              <w:jc w:val="center"/>
              <w:rPr>
                <w:rFonts w:ascii="宋体" w:hAnsi="宋体" w:cs="宋体"/>
                <w:sz w:val="24"/>
              </w:rPr>
            </w:pPr>
            <w:r>
              <w:rPr>
                <w:rFonts w:hint="eastAsia" w:ascii="宋体" w:hAnsi="宋体" w:cs="宋体"/>
                <w:sz w:val="24"/>
              </w:rPr>
              <w:t>让炯根艺制作</w:t>
            </w:r>
          </w:p>
        </w:tc>
        <w:tc>
          <w:tcPr>
            <w:tcW w:w="1905" w:type="dxa"/>
            <w:vAlign w:val="center"/>
          </w:tcPr>
          <w:p>
            <w:pPr>
              <w:jc w:val="center"/>
              <w:rPr>
                <w:rFonts w:ascii="宋体" w:hAnsi="宋体" w:cs="宋体"/>
                <w:sz w:val="24"/>
              </w:rPr>
            </w:pPr>
            <w:r>
              <w:rPr>
                <w:rFonts w:hint="eastAsia" w:ascii="宋体" w:hAnsi="宋体" w:cs="宋体"/>
                <w:sz w:val="24"/>
              </w:rPr>
              <w:t>唐卡绘画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让烔展室</w:t>
            </w:r>
          </w:p>
        </w:tc>
        <w:tc>
          <w:tcPr>
            <w:tcW w:w="1737" w:type="dxa"/>
            <w:vAlign w:val="center"/>
          </w:tcPr>
          <w:p>
            <w:pPr>
              <w:jc w:val="center"/>
              <w:rPr>
                <w:rFonts w:ascii="宋体" w:hAnsi="宋体" w:cs="宋体"/>
                <w:sz w:val="24"/>
              </w:rPr>
            </w:pPr>
            <w:r>
              <w:rPr>
                <w:rFonts w:hint="eastAsia" w:ascii="宋体" w:hAnsi="宋体" w:cs="宋体"/>
                <w:sz w:val="24"/>
              </w:rPr>
              <w:t>120</w:t>
            </w:r>
          </w:p>
        </w:tc>
        <w:tc>
          <w:tcPr>
            <w:tcW w:w="2235" w:type="dxa"/>
            <w:vAlign w:val="center"/>
          </w:tcPr>
          <w:p>
            <w:pPr>
              <w:jc w:val="center"/>
              <w:rPr>
                <w:rFonts w:ascii="宋体" w:hAnsi="宋体" w:cs="宋体"/>
                <w:sz w:val="24"/>
              </w:rPr>
            </w:pPr>
            <w:r>
              <w:rPr>
                <w:rFonts w:hint="eastAsia" w:ascii="宋体" w:hAnsi="宋体" w:cs="宋体"/>
                <w:sz w:val="24"/>
              </w:rPr>
              <w:t>让炯根艺展室</w:t>
            </w:r>
          </w:p>
        </w:tc>
        <w:tc>
          <w:tcPr>
            <w:tcW w:w="1905" w:type="dxa"/>
            <w:vAlign w:val="center"/>
          </w:tcPr>
          <w:p>
            <w:pPr>
              <w:jc w:val="center"/>
              <w:rPr>
                <w:rFonts w:ascii="宋体" w:hAnsi="宋体" w:cs="宋体"/>
                <w:sz w:val="24"/>
              </w:rPr>
            </w:pPr>
            <w:r>
              <w:rPr>
                <w:rFonts w:hint="eastAsia" w:ascii="宋体" w:hAnsi="宋体" w:cs="宋体"/>
                <w:sz w:val="24"/>
              </w:rPr>
              <w:t>唐卡绘画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餐厅操作室</w:t>
            </w:r>
          </w:p>
        </w:tc>
        <w:tc>
          <w:tcPr>
            <w:tcW w:w="1737" w:type="dxa"/>
            <w:vAlign w:val="center"/>
          </w:tcPr>
          <w:p>
            <w:pPr>
              <w:jc w:val="center"/>
              <w:rPr>
                <w:rFonts w:ascii="宋体" w:hAnsi="宋体" w:cs="宋体"/>
                <w:sz w:val="24"/>
              </w:rPr>
            </w:pPr>
            <w:r>
              <w:rPr>
                <w:rFonts w:hint="eastAsia" w:ascii="宋体" w:hAnsi="宋体" w:cs="宋体"/>
                <w:sz w:val="24"/>
              </w:rPr>
              <w:t>100</w:t>
            </w:r>
          </w:p>
        </w:tc>
        <w:tc>
          <w:tcPr>
            <w:tcW w:w="2235" w:type="dxa"/>
            <w:vAlign w:val="center"/>
          </w:tcPr>
          <w:p>
            <w:pPr>
              <w:jc w:val="center"/>
              <w:rPr>
                <w:rFonts w:ascii="宋体" w:hAnsi="宋体" w:cs="宋体"/>
                <w:sz w:val="24"/>
              </w:rPr>
            </w:pPr>
            <w:r>
              <w:rPr>
                <w:rFonts w:hint="eastAsia" w:ascii="宋体" w:hAnsi="宋体" w:cs="宋体"/>
                <w:sz w:val="24"/>
              </w:rPr>
              <w:t>餐厅操作实训</w:t>
            </w:r>
          </w:p>
        </w:tc>
        <w:tc>
          <w:tcPr>
            <w:tcW w:w="1905" w:type="dxa"/>
            <w:vAlign w:val="center"/>
          </w:tcPr>
          <w:p>
            <w:pPr>
              <w:jc w:val="center"/>
              <w:rPr>
                <w:rFonts w:ascii="宋体" w:hAnsi="宋体" w:cs="宋体"/>
                <w:sz w:val="24"/>
              </w:rPr>
            </w:pPr>
            <w:r>
              <w:rPr>
                <w:rFonts w:hint="eastAsia" w:ascii="宋体" w:hAnsi="宋体" w:cs="宋体"/>
                <w:sz w:val="24"/>
              </w:rPr>
              <w:t>高星级饭店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客房操作室</w:t>
            </w:r>
          </w:p>
        </w:tc>
        <w:tc>
          <w:tcPr>
            <w:tcW w:w="1737" w:type="dxa"/>
            <w:vAlign w:val="center"/>
          </w:tcPr>
          <w:p>
            <w:pPr>
              <w:jc w:val="center"/>
              <w:rPr>
                <w:rFonts w:ascii="宋体" w:hAnsi="宋体" w:cs="宋体"/>
                <w:sz w:val="24"/>
              </w:rPr>
            </w:pPr>
            <w:r>
              <w:rPr>
                <w:rFonts w:hint="eastAsia" w:ascii="宋体" w:hAnsi="宋体" w:cs="宋体"/>
                <w:sz w:val="24"/>
              </w:rPr>
              <w:t>100</w:t>
            </w:r>
          </w:p>
        </w:tc>
        <w:tc>
          <w:tcPr>
            <w:tcW w:w="2235" w:type="dxa"/>
            <w:vAlign w:val="center"/>
          </w:tcPr>
          <w:p>
            <w:pPr>
              <w:jc w:val="center"/>
              <w:rPr>
                <w:rFonts w:ascii="宋体" w:hAnsi="宋体" w:cs="宋体"/>
                <w:sz w:val="24"/>
              </w:rPr>
            </w:pPr>
            <w:r>
              <w:rPr>
                <w:rFonts w:hint="eastAsia" w:ascii="宋体" w:hAnsi="宋体" w:cs="宋体"/>
                <w:sz w:val="24"/>
              </w:rPr>
              <w:t>客房操作实训</w:t>
            </w:r>
          </w:p>
        </w:tc>
        <w:tc>
          <w:tcPr>
            <w:tcW w:w="1905" w:type="dxa"/>
            <w:vAlign w:val="center"/>
          </w:tcPr>
          <w:p>
            <w:pPr>
              <w:jc w:val="center"/>
              <w:rPr>
                <w:rFonts w:ascii="宋体" w:hAnsi="宋体" w:cs="宋体"/>
                <w:sz w:val="24"/>
              </w:rPr>
            </w:pPr>
            <w:r>
              <w:rPr>
                <w:rFonts w:hint="eastAsia" w:ascii="宋体" w:hAnsi="宋体" w:cs="宋体"/>
                <w:sz w:val="24"/>
              </w:rPr>
              <w:t>高星级饭店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前厅操作室</w:t>
            </w:r>
          </w:p>
        </w:tc>
        <w:tc>
          <w:tcPr>
            <w:tcW w:w="1737" w:type="dxa"/>
            <w:vAlign w:val="center"/>
          </w:tcPr>
          <w:p>
            <w:pPr>
              <w:jc w:val="center"/>
              <w:rPr>
                <w:rFonts w:ascii="宋体" w:hAnsi="宋体" w:cs="宋体"/>
                <w:sz w:val="24"/>
              </w:rPr>
            </w:pPr>
            <w:r>
              <w:rPr>
                <w:rFonts w:hint="eastAsia" w:ascii="宋体" w:hAnsi="宋体" w:cs="宋体"/>
                <w:sz w:val="24"/>
              </w:rPr>
              <w:t>50</w:t>
            </w:r>
          </w:p>
        </w:tc>
        <w:tc>
          <w:tcPr>
            <w:tcW w:w="2235" w:type="dxa"/>
            <w:vAlign w:val="center"/>
          </w:tcPr>
          <w:p>
            <w:pPr>
              <w:jc w:val="center"/>
              <w:rPr>
                <w:rFonts w:ascii="宋体" w:hAnsi="宋体" w:cs="宋体"/>
                <w:sz w:val="24"/>
              </w:rPr>
            </w:pPr>
            <w:r>
              <w:rPr>
                <w:rFonts w:hint="eastAsia" w:ascii="宋体" w:hAnsi="宋体" w:cs="宋体"/>
                <w:sz w:val="24"/>
              </w:rPr>
              <w:t>前厅操作实训</w:t>
            </w:r>
          </w:p>
        </w:tc>
        <w:tc>
          <w:tcPr>
            <w:tcW w:w="1905" w:type="dxa"/>
            <w:vAlign w:val="center"/>
          </w:tcPr>
          <w:p>
            <w:pPr>
              <w:jc w:val="center"/>
              <w:rPr>
                <w:rFonts w:ascii="宋体" w:hAnsi="宋体" w:cs="宋体"/>
                <w:sz w:val="24"/>
              </w:rPr>
            </w:pPr>
            <w:r>
              <w:rPr>
                <w:rFonts w:hint="eastAsia" w:ascii="宋体" w:hAnsi="宋体" w:cs="宋体"/>
                <w:sz w:val="24"/>
              </w:rPr>
              <w:t>高星级饭店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0" w:type="dxa"/>
            <w:vAlign w:val="center"/>
          </w:tcPr>
          <w:p>
            <w:pPr>
              <w:widowControl/>
              <w:jc w:val="center"/>
              <w:rPr>
                <w:rFonts w:ascii="宋体" w:hAnsi="宋体" w:cs="宋体"/>
                <w:sz w:val="24"/>
              </w:rPr>
            </w:pPr>
            <w:r>
              <w:rPr>
                <w:rFonts w:hint="eastAsia" w:ascii="宋体" w:hAnsi="宋体" w:cs="宋体"/>
                <w:sz w:val="24"/>
              </w:rPr>
              <w:t>茶艺室</w:t>
            </w:r>
          </w:p>
        </w:tc>
        <w:tc>
          <w:tcPr>
            <w:tcW w:w="1737" w:type="dxa"/>
            <w:vAlign w:val="center"/>
          </w:tcPr>
          <w:p>
            <w:pPr>
              <w:jc w:val="center"/>
              <w:rPr>
                <w:rFonts w:ascii="宋体" w:hAnsi="宋体" w:cs="宋体"/>
                <w:sz w:val="24"/>
              </w:rPr>
            </w:pPr>
            <w:r>
              <w:rPr>
                <w:rFonts w:hint="eastAsia" w:ascii="宋体" w:hAnsi="宋体" w:cs="宋体"/>
                <w:sz w:val="24"/>
              </w:rPr>
              <w:t>50</w:t>
            </w:r>
          </w:p>
        </w:tc>
        <w:tc>
          <w:tcPr>
            <w:tcW w:w="2235" w:type="dxa"/>
            <w:vAlign w:val="center"/>
          </w:tcPr>
          <w:p>
            <w:pPr>
              <w:jc w:val="center"/>
              <w:rPr>
                <w:rFonts w:ascii="宋体" w:hAnsi="宋体" w:cs="宋体"/>
                <w:sz w:val="24"/>
              </w:rPr>
            </w:pPr>
            <w:r>
              <w:rPr>
                <w:rFonts w:hint="eastAsia" w:ascii="宋体" w:hAnsi="宋体" w:cs="宋体"/>
                <w:sz w:val="24"/>
              </w:rPr>
              <w:t>茶艺实训</w:t>
            </w:r>
          </w:p>
        </w:tc>
        <w:tc>
          <w:tcPr>
            <w:tcW w:w="1905" w:type="dxa"/>
            <w:vAlign w:val="center"/>
          </w:tcPr>
          <w:p>
            <w:pPr>
              <w:jc w:val="center"/>
              <w:rPr>
                <w:rFonts w:ascii="宋体" w:hAnsi="宋体" w:cs="宋体"/>
                <w:sz w:val="24"/>
              </w:rPr>
            </w:pPr>
            <w:r>
              <w:rPr>
                <w:rFonts w:hint="eastAsia" w:ascii="宋体" w:hAnsi="宋体" w:cs="宋体"/>
                <w:sz w:val="24"/>
              </w:rPr>
              <w:t>高星级饭店</w:t>
            </w:r>
          </w:p>
        </w:tc>
      </w:tr>
    </w:tbl>
    <w:p>
      <w:pPr>
        <w:jc w:val="center"/>
        <w:rPr>
          <w:rFonts w:ascii="宋体" w:hAnsi="宋体" w:cs="宋体"/>
          <w:b/>
          <w:bCs/>
          <w:color w:val="000000"/>
          <w:sz w:val="28"/>
          <w:szCs w:val="28"/>
        </w:rPr>
      </w:pPr>
      <w:r>
        <w:rPr>
          <w:rFonts w:hint="eastAsia" w:ascii="宋体" w:hAnsi="宋体" w:cs="宋体"/>
          <w:b/>
          <w:bCs/>
          <w:color w:val="000000"/>
          <w:sz w:val="28"/>
          <w:szCs w:val="28"/>
        </w:rPr>
        <w:t>表1-4 2019年学校校外实训基地列表</w:t>
      </w:r>
    </w:p>
    <w:tbl>
      <w:tblPr>
        <w:tblStyle w:val="11"/>
        <w:tblW w:w="91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76"/>
        <w:gridCol w:w="3090"/>
        <w:gridCol w:w="2235"/>
        <w:gridCol w:w="31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676" w:type="dxa"/>
            <w:shd w:val="clear" w:color="auto" w:fill="4F81BD" w:themeFill="accent1"/>
            <w:vAlign w:val="center"/>
          </w:tcPr>
          <w:p>
            <w:pPr>
              <w:jc w:val="center"/>
              <w:rPr>
                <w:rFonts w:ascii="宋体" w:hAnsi="宋体" w:cs="宋体"/>
                <w:b/>
                <w:bCs/>
                <w:color w:val="FFFFFF" w:themeColor="background1"/>
                <w:sz w:val="24"/>
                <w14:textFill>
                  <w14:solidFill>
                    <w14:schemeClr w14:val="bg1"/>
                  </w14:solidFill>
                </w14:textFill>
              </w:rPr>
            </w:pPr>
            <w:r>
              <w:rPr>
                <w:rFonts w:ascii="宋体" w:hAnsi="宋体" w:cs="宋体"/>
                <w:b/>
                <w:bCs/>
                <w:color w:val="FFFFFF" w:themeColor="background1"/>
                <w:sz w:val="24"/>
                <w14:textFill>
                  <w14:solidFill>
                    <w14:schemeClr w14:val="bg1"/>
                  </w14:solidFill>
                </w14:textFill>
              </w:rPr>
              <w:t>序号</w:t>
            </w:r>
          </w:p>
        </w:tc>
        <w:tc>
          <w:tcPr>
            <w:tcW w:w="3090" w:type="dxa"/>
            <w:shd w:val="clear" w:color="auto" w:fill="4F81BD" w:themeFill="accent1"/>
            <w:vAlign w:val="center"/>
          </w:tcPr>
          <w:p>
            <w:pPr>
              <w:jc w:val="center"/>
              <w:rPr>
                <w:rFonts w:ascii="宋体" w:hAnsi="宋体" w:cs="宋体"/>
                <w:b/>
                <w:bCs/>
                <w:color w:val="FFFFFF" w:themeColor="background1"/>
                <w:sz w:val="24"/>
                <w14:textFill>
                  <w14:solidFill>
                    <w14:schemeClr w14:val="bg1"/>
                  </w14:solidFill>
                </w14:textFill>
              </w:rPr>
            </w:pPr>
            <w:r>
              <w:rPr>
                <w:rFonts w:ascii="宋体" w:hAnsi="宋体" w:cs="宋体"/>
                <w:b/>
                <w:bCs/>
                <w:color w:val="FFFFFF" w:themeColor="background1"/>
                <w:sz w:val="24"/>
                <w14:textFill>
                  <w14:solidFill>
                    <w14:schemeClr w14:val="bg1"/>
                  </w14:solidFill>
                </w14:textFill>
              </w:rPr>
              <w:t>单位名称</w:t>
            </w:r>
          </w:p>
        </w:tc>
        <w:tc>
          <w:tcPr>
            <w:tcW w:w="2235" w:type="dxa"/>
            <w:shd w:val="clear" w:color="auto" w:fill="4F81BD" w:themeFill="accent1"/>
            <w:vAlign w:val="center"/>
          </w:tcPr>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年均</w:t>
            </w:r>
            <w:r>
              <w:rPr>
                <w:rFonts w:ascii="宋体" w:hAnsi="宋体" w:cs="宋体"/>
                <w:b/>
                <w:bCs/>
                <w:color w:val="FFFFFF" w:themeColor="background1"/>
                <w:sz w:val="24"/>
                <w14:textFill>
                  <w14:solidFill>
                    <w14:schemeClr w14:val="bg1"/>
                  </w14:solidFill>
                </w14:textFill>
              </w:rPr>
              <w:t>接纳学生</w:t>
            </w:r>
            <w:r>
              <w:rPr>
                <w:rFonts w:hint="eastAsia" w:ascii="宋体" w:hAnsi="宋体" w:cs="宋体"/>
                <w:b/>
                <w:bCs/>
                <w:color w:val="FFFFFF" w:themeColor="background1"/>
                <w:sz w:val="24"/>
                <w14:textFill>
                  <w14:solidFill>
                    <w14:schemeClr w14:val="bg1"/>
                  </w14:solidFill>
                </w14:textFill>
              </w:rPr>
              <w:t>（人）</w:t>
            </w:r>
          </w:p>
        </w:tc>
        <w:tc>
          <w:tcPr>
            <w:tcW w:w="3103" w:type="dxa"/>
            <w:shd w:val="clear" w:color="auto" w:fill="4F81BD" w:themeFill="accent1"/>
            <w:vAlign w:val="center"/>
          </w:tcPr>
          <w:p>
            <w:pPr>
              <w:jc w:val="center"/>
              <w:rPr>
                <w:rFonts w:ascii="宋体" w:hAnsi="宋体" w:cs="宋体"/>
                <w:b/>
                <w:bCs/>
                <w:color w:val="FFFFFF" w:themeColor="background1"/>
                <w:sz w:val="24"/>
                <w14:textFill>
                  <w14:solidFill>
                    <w14:schemeClr w14:val="bg1"/>
                  </w14:solidFill>
                </w14:textFill>
              </w:rPr>
            </w:pPr>
            <w:r>
              <w:rPr>
                <w:rFonts w:ascii="宋体" w:hAnsi="宋体" w:cs="宋体"/>
                <w:b/>
                <w:bCs/>
                <w:color w:val="FFFFFF" w:themeColor="background1"/>
                <w:sz w:val="24"/>
                <w14:textFill>
                  <w14:solidFill>
                    <w14:schemeClr w14:val="bg1"/>
                  </w14:solidFill>
                </w14:textFill>
              </w:rPr>
              <w:t>主要专业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676" w:type="dxa"/>
            <w:vAlign w:val="center"/>
          </w:tcPr>
          <w:p>
            <w:pPr>
              <w:jc w:val="center"/>
              <w:rPr>
                <w:rFonts w:ascii="宋体" w:hAnsi="宋体" w:cs="宋体"/>
                <w:color w:val="000000"/>
                <w:sz w:val="24"/>
              </w:rPr>
            </w:pPr>
            <w:r>
              <w:rPr>
                <w:rFonts w:ascii="宋体" w:hAnsi="宋体" w:cs="宋体"/>
                <w:color w:val="000000"/>
                <w:sz w:val="24"/>
              </w:rPr>
              <w:t>1</w:t>
            </w:r>
          </w:p>
        </w:tc>
        <w:tc>
          <w:tcPr>
            <w:tcW w:w="3090" w:type="dxa"/>
            <w:vAlign w:val="center"/>
          </w:tcPr>
          <w:p>
            <w:pPr>
              <w:jc w:val="center"/>
              <w:rPr>
                <w:rFonts w:ascii="宋体" w:hAnsi="宋体" w:cs="宋体"/>
                <w:color w:val="000000"/>
                <w:sz w:val="24"/>
              </w:rPr>
            </w:pPr>
            <w:r>
              <w:rPr>
                <w:rFonts w:ascii="宋体" w:hAnsi="宋体" w:cs="宋体"/>
                <w:color w:val="000000"/>
                <w:sz w:val="24"/>
              </w:rPr>
              <w:t>重庆日泉农牧有限公司</w:t>
            </w:r>
          </w:p>
        </w:tc>
        <w:tc>
          <w:tcPr>
            <w:tcW w:w="2235" w:type="dxa"/>
            <w:vAlign w:val="center"/>
          </w:tcPr>
          <w:p>
            <w:pPr>
              <w:jc w:val="center"/>
              <w:rPr>
                <w:rFonts w:ascii="宋体" w:hAnsi="宋体" w:cs="宋体"/>
                <w:color w:val="000000"/>
                <w:sz w:val="24"/>
              </w:rPr>
            </w:pPr>
            <w:r>
              <w:rPr>
                <w:rFonts w:ascii="宋体" w:hAnsi="宋体" w:cs="宋体"/>
                <w:color w:val="000000"/>
                <w:sz w:val="24"/>
              </w:rPr>
              <w:t>10-70</w:t>
            </w:r>
          </w:p>
        </w:tc>
        <w:tc>
          <w:tcPr>
            <w:tcW w:w="3103" w:type="dxa"/>
            <w:vAlign w:val="center"/>
          </w:tcPr>
          <w:p>
            <w:pPr>
              <w:jc w:val="center"/>
              <w:rPr>
                <w:rFonts w:ascii="宋体" w:hAnsi="宋体" w:cs="宋体"/>
                <w:color w:val="000000"/>
                <w:sz w:val="24"/>
              </w:rPr>
            </w:pPr>
            <w:r>
              <w:rPr>
                <w:rFonts w:ascii="宋体" w:hAnsi="宋体" w:cs="宋体"/>
                <w:color w:val="000000"/>
                <w:sz w:val="24"/>
              </w:rPr>
              <w:t>畜牧兽医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4" w:hRule="exact"/>
          <w:jc w:val="center"/>
        </w:trPr>
        <w:tc>
          <w:tcPr>
            <w:tcW w:w="676" w:type="dxa"/>
            <w:vAlign w:val="center"/>
          </w:tcPr>
          <w:p>
            <w:pPr>
              <w:jc w:val="center"/>
              <w:rPr>
                <w:rFonts w:ascii="宋体" w:hAnsi="宋体" w:cs="宋体"/>
                <w:color w:val="000000"/>
                <w:sz w:val="24"/>
              </w:rPr>
            </w:pPr>
            <w:r>
              <w:rPr>
                <w:rFonts w:ascii="宋体" w:hAnsi="宋体" w:cs="宋体"/>
                <w:color w:val="000000"/>
                <w:sz w:val="24"/>
              </w:rPr>
              <w:t>2</w:t>
            </w:r>
          </w:p>
        </w:tc>
        <w:tc>
          <w:tcPr>
            <w:tcW w:w="3090" w:type="dxa"/>
            <w:vAlign w:val="center"/>
          </w:tcPr>
          <w:p>
            <w:pPr>
              <w:jc w:val="center"/>
              <w:rPr>
                <w:rFonts w:ascii="宋体" w:hAnsi="宋体" w:cs="宋体"/>
                <w:color w:val="000000"/>
                <w:sz w:val="24"/>
              </w:rPr>
            </w:pPr>
            <w:r>
              <w:rPr>
                <w:rFonts w:ascii="宋体" w:hAnsi="宋体" w:cs="宋体"/>
                <w:color w:val="000000"/>
                <w:sz w:val="24"/>
              </w:rPr>
              <w:t>九寨沟宏义集团</w:t>
            </w:r>
          </w:p>
        </w:tc>
        <w:tc>
          <w:tcPr>
            <w:tcW w:w="2235" w:type="dxa"/>
            <w:vAlign w:val="center"/>
          </w:tcPr>
          <w:p>
            <w:pPr>
              <w:jc w:val="center"/>
              <w:rPr>
                <w:rFonts w:ascii="宋体" w:hAnsi="宋体" w:cs="宋体"/>
                <w:color w:val="000000"/>
                <w:sz w:val="24"/>
              </w:rPr>
            </w:pPr>
            <w:r>
              <w:rPr>
                <w:rFonts w:ascii="宋体" w:hAnsi="宋体" w:cs="宋体"/>
                <w:color w:val="000000"/>
                <w:sz w:val="24"/>
              </w:rPr>
              <w:t>30-50</w:t>
            </w:r>
          </w:p>
        </w:tc>
        <w:tc>
          <w:tcPr>
            <w:tcW w:w="3103" w:type="dxa"/>
            <w:vAlign w:val="center"/>
          </w:tcPr>
          <w:p>
            <w:pPr>
              <w:jc w:val="center"/>
              <w:rPr>
                <w:rFonts w:ascii="宋体" w:hAnsi="宋体" w:cs="宋体"/>
                <w:color w:val="000000"/>
                <w:sz w:val="24"/>
              </w:rPr>
            </w:pPr>
            <w:r>
              <w:rPr>
                <w:rFonts w:ascii="宋体" w:hAnsi="宋体" w:cs="宋体"/>
                <w:color w:val="000000"/>
                <w:sz w:val="24"/>
              </w:rPr>
              <w:t>高星级饭店运营与管理、园林绿化、物业管理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676" w:type="dxa"/>
            <w:vAlign w:val="center"/>
          </w:tcPr>
          <w:p>
            <w:pPr>
              <w:jc w:val="center"/>
              <w:rPr>
                <w:rFonts w:ascii="宋体" w:hAnsi="宋体" w:cs="宋体"/>
                <w:color w:val="000000"/>
                <w:sz w:val="24"/>
              </w:rPr>
            </w:pPr>
            <w:r>
              <w:rPr>
                <w:rFonts w:ascii="宋体" w:hAnsi="宋体" w:cs="宋体"/>
                <w:color w:val="000000"/>
                <w:sz w:val="24"/>
              </w:rPr>
              <w:t>3</w:t>
            </w:r>
          </w:p>
        </w:tc>
        <w:tc>
          <w:tcPr>
            <w:tcW w:w="3090" w:type="dxa"/>
            <w:vAlign w:val="center"/>
          </w:tcPr>
          <w:p>
            <w:pPr>
              <w:jc w:val="center"/>
              <w:rPr>
                <w:rFonts w:ascii="宋体" w:hAnsi="宋体" w:cs="宋体"/>
                <w:color w:val="000000"/>
                <w:sz w:val="24"/>
              </w:rPr>
            </w:pPr>
            <w:r>
              <w:rPr>
                <w:rFonts w:ascii="宋体" w:hAnsi="宋体" w:cs="宋体"/>
                <w:color w:val="000000"/>
                <w:sz w:val="24"/>
              </w:rPr>
              <w:t>汶川龙达车业有限公司</w:t>
            </w:r>
          </w:p>
        </w:tc>
        <w:tc>
          <w:tcPr>
            <w:tcW w:w="2235" w:type="dxa"/>
            <w:vAlign w:val="center"/>
          </w:tcPr>
          <w:p>
            <w:pPr>
              <w:jc w:val="center"/>
              <w:rPr>
                <w:rFonts w:ascii="宋体" w:hAnsi="宋体" w:cs="宋体"/>
                <w:color w:val="000000"/>
                <w:sz w:val="24"/>
              </w:rPr>
            </w:pPr>
            <w:r>
              <w:rPr>
                <w:rFonts w:ascii="宋体" w:hAnsi="宋体" w:cs="宋体"/>
                <w:color w:val="000000"/>
                <w:sz w:val="24"/>
              </w:rPr>
              <w:t>10-30</w:t>
            </w:r>
          </w:p>
        </w:tc>
        <w:tc>
          <w:tcPr>
            <w:tcW w:w="3103" w:type="dxa"/>
            <w:vAlign w:val="center"/>
          </w:tcPr>
          <w:p>
            <w:pPr>
              <w:jc w:val="center"/>
              <w:rPr>
                <w:rFonts w:ascii="宋体" w:hAnsi="宋体" w:cs="宋体"/>
                <w:color w:val="000000"/>
                <w:sz w:val="24"/>
              </w:rPr>
            </w:pPr>
            <w:r>
              <w:rPr>
                <w:rFonts w:ascii="宋体" w:hAnsi="宋体" w:cs="宋体"/>
                <w:color w:val="000000"/>
                <w:sz w:val="24"/>
              </w:rPr>
              <w:t>机电、汽修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676" w:type="dxa"/>
            <w:vAlign w:val="center"/>
          </w:tcPr>
          <w:p>
            <w:pPr>
              <w:jc w:val="center"/>
              <w:rPr>
                <w:rFonts w:ascii="宋体" w:hAnsi="宋体" w:cs="宋体"/>
                <w:color w:val="000000"/>
                <w:sz w:val="24"/>
              </w:rPr>
            </w:pPr>
            <w:r>
              <w:rPr>
                <w:rFonts w:ascii="宋体" w:hAnsi="宋体" w:cs="宋体"/>
                <w:color w:val="000000"/>
                <w:sz w:val="24"/>
              </w:rPr>
              <w:t>4</w:t>
            </w:r>
          </w:p>
        </w:tc>
        <w:tc>
          <w:tcPr>
            <w:tcW w:w="3090" w:type="dxa"/>
            <w:vAlign w:val="center"/>
          </w:tcPr>
          <w:p>
            <w:pPr>
              <w:jc w:val="center"/>
              <w:rPr>
                <w:rFonts w:ascii="宋体" w:hAnsi="宋体" w:cs="宋体"/>
                <w:color w:val="000000"/>
                <w:sz w:val="24"/>
              </w:rPr>
            </w:pPr>
            <w:r>
              <w:rPr>
                <w:rFonts w:ascii="宋体" w:hAnsi="宋体" w:cs="宋体"/>
                <w:color w:val="000000"/>
                <w:sz w:val="24"/>
              </w:rPr>
              <w:t>四川红星领地酒庄有限公司</w:t>
            </w:r>
          </w:p>
        </w:tc>
        <w:tc>
          <w:tcPr>
            <w:tcW w:w="2235" w:type="dxa"/>
            <w:vAlign w:val="center"/>
          </w:tcPr>
          <w:p>
            <w:pPr>
              <w:jc w:val="center"/>
              <w:rPr>
                <w:rFonts w:ascii="宋体" w:hAnsi="宋体" w:cs="宋体"/>
                <w:color w:val="000000"/>
                <w:sz w:val="24"/>
              </w:rPr>
            </w:pPr>
            <w:r>
              <w:rPr>
                <w:rFonts w:ascii="宋体" w:hAnsi="宋体" w:cs="宋体"/>
                <w:color w:val="000000"/>
                <w:sz w:val="24"/>
              </w:rPr>
              <w:t>10-40</w:t>
            </w:r>
          </w:p>
        </w:tc>
        <w:tc>
          <w:tcPr>
            <w:tcW w:w="3103" w:type="dxa"/>
            <w:vAlign w:val="center"/>
          </w:tcPr>
          <w:p>
            <w:pPr>
              <w:jc w:val="center"/>
              <w:rPr>
                <w:rFonts w:ascii="宋体" w:hAnsi="宋体" w:cs="宋体"/>
                <w:color w:val="000000"/>
                <w:sz w:val="24"/>
              </w:rPr>
            </w:pPr>
            <w:r>
              <w:rPr>
                <w:rFonts w:ascii="宋体" w:hAnsi="宋体" w:cs="宋体"/>
                <w:color w:val="000000"/>
                <w:sz w:val="24"/>
              </w:rPr>
              <w:t>生态农业技术、农艺、园林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676" w:type="dxa"/>
            <w:vAlign w:val="center"/>
          </w:tcPr>
          <w:p>
            <w:pPr>
              <w:jc w:val="center"/>
              <w:rPr>
                <w:rFonts w:ascii="宋体" w:hAnsi="宋体" w:cs="宋体"/>
                <w:color w:val="000000"/>
                <w:sz w:val="24"/>
              </w:rPr>
            </w:pPr>
            <w:r>
              <w:rPr>
                <w:rFonts w:ascii="宋体" w:hAnsi="宋体" w:cs="宋体"/>
                <w:color w:val="000000"/>
                <w:sz w:val="24"/>
              </w:rPr>
              <w:t>5</w:t>
            </w:r>
          </w:p>
        </w:tc>
        <w:tc>
          <w:tcPr>
            <w:tcW w:w="3090" w:type="dxa"/>
            <w:vAlign w:val="center"/>
          </w:tcPr>
          <w:p>
            <w:pPr>
              <w:jc w:val="center"/>
              <w:rPr>
                <w:rFonts w:ascii="宋体" w:hAnsi="宋体" w:cs="宋体"/>
                <w:color w:val="000000"/>
                <w:sz w:val="24"/>
              </w:rPr>
            </w:pPr>
            <w:r>
              <w:rPr>
                <w:rFonts w:ascii="宋体" w:hAnsi="宋体" w:cs="宋体"/>
                <w:color w:val="000000"/>
                <w:sz w:val="24"/>
              </w:rPr>
              <w:t>北川县民族歌舞团</w:t>
            </w:r>
          </w:p>
        </w:tc>
        <w:tc>
          <w:tcPr>
            <w:tcW w:w="2235" w:type="dxa"/>
            <w:vAlign w:val="center"/>
          </w:tcPr>
          <w:p>
            <w:pPr>
              <w:jc w:val="center"/>
              <w:rPr>
                <w:rFonts w:ascii="宋体" w:hAnsi="宋体" w:cs="宋体"/>
                <w:color w:val="000000"/>
                <w:sz w:val="24"/>
              </w:rPr>
            </w:pPr>
            <w:r>
              <w:rPr>
                <w:rFonts w:ascii="宋体" w:hAnsi="宋体" w:cs="宋体"/>
                <w:color w:val="000000"/>
                <w:sz w:val="24"/>
              </w:rPr>
              <w:t>5-20</w:t>
            </w:r>
          </w:p>
        </w:tc>
        <w:tc>
          <w:tcPr>
            <w:tcW w:w="3103" w:type="dxa"/>
            <w:vAlign w:val="center"/>
          </w:tcPr>
          <w:p>
            <w:pPr>
              <w:jc w:val="center"/>
              <w:rPr>
                <w:rFonts w:ascii="宋体" w:hAnsi="宋体" w:cs="宋体"/>
                <w:color w:val="000000"/>
                <w:sz w:val="24"/>
              </w:rPr>
            </w:pPr>
            <w:r>
              <w:rPr>
                <w:rFonts w:ascii="宋体" w:hAnsi="宋体" w:cs="宋体"/>
                <w:color w:val="000000"/>
                <w:sz w:val="24"/>
              </w:rPr>
              <w:t>藏羌艺术</w:t>
            </w:r>
          </w:p>
        </w:tc>
      </w:tr>
    </w:tbl>
    <w:p>
      <w:pPr>
        <w:ind w:firstLine="562" w:firstLineChars="200"/>
        <w:rPr>
          <w:rFonts w:ascii="宋体" w:hAnsi="宋体" w:cs="宋体"/>
          <w:b/>
          <w:bCs/>
          <w:color w:val="000000"/>
          <w:sz w:val="28"/>
          <w:szCs w:val="28"/>
        </w:rPr>
      </w:pPr>
      <w:r>
        <w:rPr>
          <w:rFonts w:hint="eastAsia" w:ascii="宋体" w:hAnsi="宋体" w:cs="宋体"/>
          <w:b/>
          <w:bCs/>
          <w:color w:val="000000"/>
          <w:sz w:val="28"/>
          <w:szCs w:val="28"/>
        </w:rPr>
        <w:t>1.4.3 图书馆藏书增加 满足学习需求</w:t>
      </w:r>
    </w:p>
    <w:p>
      <w:pPr>
        <w:ind w:firstLine="560" w:firstLineChars="200"/>
        <w:rPr>
          <w:rFonts w:ascii="宋体" w:hAnsi="宋体" w:cs="宋体"/>
          <w:color w:val="000000"/>
          <w:sz w:val="28"/>
          <w:szCs w:val="28"/>
        </w:rPr>
      </w:pPr>
      <w:r>
        <w:rPr>
          <w:rFonts w:hint="eastAsia" w:ascii="宋体" w:hAnsi="宋体" w:cs="宋体"/>
          <w:color w:val="000000"/>
          <w:sz w:val="28"/>
          <w:szCs w:val="28"/>
        </w:rPr>
        <w:t>为更好地满足学生课外阅读需求，提升学生学习能力，学校加大校园图书工程建设，增加图书馆藏书量，给学生提供更多自我发展提升的空间。本年度学校购置图书16916册，现图书纸质藏书总量59861册，生均图书67册；订阅期刊报纸10种，阅览室座位数80个。</w:t>
      </w:r>
    </w:p>
    <w:p>
      <w:pPr>
        <w:ind w:firstLine="562" w:firstLineChars="200"/>
        <w:rPr>
          <w:rFonts w:ascii="宋体" w:hAnsi="宋体" w:cs="宋体"/>
          <w:b/>
          <w:bCs/>
          <w:color w:val="000000"/>
          <w:sz w:val="28"/>
          <w:szCs w:val="28"/>
        </w:rPr>
      </w:pPr>
      <w:bookmarkStart w:id="20" w:name="_Toc489899584"/>
      <w:r>
        <w:rPr>
          <w:rFonts w:hint="eastAsia" w:ascii="宋体" w:hAnsi="宋体" w:cs="宋体"/>
          <w:b/>
          <w:bCs/>
          <w:color w:val="000000"/>
          <w:sz w:val="28"/>
          <w:szCs w:val="28"/>
        </w:rPr>
        <w:t>1.4.4 信息化建设持续优化完善</w:t>
      </w:r>
    </w:p>
    <w:p>
      <w:pPr>
        <w:ind w:firstLine="560" w:firstLineChars="200"/>
        <w:rPr>
          <w:rFonts w:ascii="宋体" w:hAnsi="宋体" w:cs="宋体"/>
          <w:sz w:val="28"/>
          <w:szCs w:val="28"/>
        </w:rPr>
      </w:pPr>
      <w:r>
        <w:rPr>
          <w:rFonts w:hint="eastAsia" w:ascii="宋体" w:hAnsi="宋体" w:cs="宋体"/>
          <w:sz w:val="28"/>
          <w:szCs w:val="28"/>
        </w:rPr>
        <w:t>学校按照《四川省教育信息化十年发展行动计划（2011-2020年）》文件要求，不断优化完善校园信息化建设，打造智慧校园。</w:t>
      </w:r>
    </w:p>
    <w:p>
      <w:pPr>
        <w:ind w:firstLine="560" w:firstLineChars="200"/>
        <w:rPr>
          <w:rFonts w:ascii="宋体" w:hAnsi="宋体" w:cs="宋体"/>
          <w:sz w:val="28"/>
          <w:szCs w:val="28"/>
        </w:rPr>
      </w:pPr>
      <w:r>
        <w:rPr>
          <w:rFonts w:hint="eastAsia" w:ascii="宋体" w:hAnsi="宋体" w:cs="宋体"/>
          <w:sz w:val="28"/>
          <w:szCs w:val="28"/>
        </w:rPr>
        <w:t>本年度学校完成网络提速，达到上行40M、下行200M带宽；建设了校园一卡通系统、视频监控系统、广播系统；建设了多功能多媒体教室21间，其间8间为智慧讲台，录播室1间，公共教学机房4间（其中云机房3间，计算机161台）；采购了会计信息化教考系统、会计从业资格证仿真考试系统、虚拟商业社会环境VBSE会计模拟实训平台、普数道具和仿真教学软件系统、德育数字教学资源软件等数字教学资源。</w:t>
      </w:r>
    </w:p>
    <w:p>
      <w:pPr>
        <w:ind w:firstLine="560" w:firstLineChars="200"/>
        <w:rPr>
          <w:rFonts w:ascii="宋体" w:hAnsi="宋体" w:cs="宋体"/>
          <w:sz w:val="28"/>
          <w:szCs w:val="28"/>
        </w:rPr>
      </w:pPr>
      <w:r>
        <w:rPr>
          <w:rFonts w:hint="eastAsia" w:ascii="宋体" w:hAnsi="宋体" w:cs="宋体"/>
          <w:sz w:val="28"/>
          <w:szCs w:val="28"/>
        </w:rPr>
        <w:t>学校目前正在建设中心机房、校园基础网络综合布线等，最终将实现从环境、资源到活动全部数字化，实现教育过程的全面信息化，达到提高教育管理水平和效率目的。</w:t>
      </w:r>
    </w:p>
    <w:p>
      <w:pPr>
        <w:pStyle w:val="2"/>
        <w:ind w:firstLine="602"/>
        <w:rPr>
          <w:rFonts w:ascii="黑体" w:hAnsi="黑体"/>
        </w:rPr>
      </w:pPr>
      <w:bookmarkStart w:id="21" w:name="_Toc9027"/>
      <w:bookmarkStart w:id="22" w:name="_Toc531679150"/>
      <w:bookmarkStart w:id="23" w:name="_Toc531602775"/>
      <w:bookmarkStart w:id="24" w:name="_Toc531602427"/>
      <w:r>
        <w:rPr>
          <w:rFonts w:ascii="黑体" w:hAnsi="黑体"/>
        </w:rPr>
        <w:t>2.学生发展</w:t>
      </w:r>
      <w:bookmarkEnd w:id="20"/>
      <w:bookmarkEnd w:id="21"/>
      <w:bookmarkEnd w:id="22"/>
      <w:bookmarkEnd w:id="23"/>
      <w:bookmarkEnd w:id="24"/>
    </w:p>
    <w:p>
      <w:pPr>
        <w:pStyle w:val="3"/>
        <w:ind w:firstLine="562"/>
      </w:pPr>
      <w:bookmarkStart w:id="25" w:name="_Toc1100"/>
      <w:bookmarkStart w:id="26" w:name="_Toc531602428"/>
      <w:bookmarkStart w:id="27" w:name="_Toc531602776"/>
      <w:bookmarkStart w:id="28" w:name="_Toc531679151"/>
      <w:r>
        <w:rPr>
          <w:rFonts w:ascii="黑体" w:hAnsi="黑体"/>
        </w:rPr>
        <w:t>2.1</w:t>
      </w:r>
      <w:r>
        <w:t>学生素质</w:t>
      </w:r>
      <w:bookmarkEnd w:id="25"/>
      <w:r>
        <w:rPr>
          <w:rFonts w:hint="eastAsia"/>
        </w:rPr>
        <w:t>：</w:t>
      </w:r>
      <w:bookmarkEnd w:id="26"/>
      <w:bookmarkEnd w:id="27"/>
      <w:bookmarkEnd w:id="28"/>
      <w:r>
        <w:rPr>
          <w:rFonts w:hint="eastAsia"/>
        </w:rPr>
        <w:t>深化立德树人 学生素质提升</w:t>
      </w:r>
    </w:p>
    <w:p>
      <w:pPr>
        <w:ind w:firstLine="562" w:firstLineChars="200"/>
        <w:rPr>
          <w:rFonts w:ascii="宋体" w:hAnsi="宋体" w:cs="宋体"/>
          <w:b/>
          <w:bCs/>
          <w:color w:val="000000"/>
          <w:sz w:val="28"/>
          <w:szCs w:val="28"/>
        </w:rPr>
      </w:pPr>
      <w:r>
        <w:rPr>
          <w:rFonts w:hint="eastAsia" w:ascii="宋体" w:hAnsi="宋体" w:cs="宋体"/>
          <w:b/>
          <w:bCs/>
          <w:color w:val="000000"/>
          <w:sz w:val="28"/>
          <w:szCs w:val="28"/>
        </w:rPr>
        <w:t>2.1.1思想政治状况</w:t>
      </w:r>
    </w:p>
    <w:p>
      <w:pPr>
        <w:ind w:firstLine="560" w:firstLineChars="200"/>
        <w:rPr>
          <w:rFonts w:ascii="宋体" w:hAnsi="宋体" w:cs="宋体"/>
          <w:color w:val="000000"/>
          <w:sz w:val="28"/>
          <w:szCs w:val="28"/>
        </w:rPr>
      </w:pPr>
      <w:r>
        <w:rPr>
          <w:rFonts w:hint="eastAsia" w:ascii="宋体" w:hAnsi="宋体" w:cs="宋体"/>
          <w:color w:val="000000"/>
          <w:sz w:val="28"/>
          <w:szCs w:val="28"/>
        </w:rPr>
        <w:t>学校高举中国特色社会主义伟大旗帜，以邓小平理论、“三个代表”重要思想、科学发展观为指导，全面贯彻党的十九大精神和习近平总书记系列重要讲话精神，按照“四个全面”战略布局，认真贯彻党的教育方针和民族政策，深入落实党中央、国务院决策部署，以立德树人为根本，以服务改善民生、凝聚民心为导向，保障少数民族和民族地区群众受教育权利，提高民族群众科学文化素质，传承中华民族优秀传统文化，大力培育和弘扬社会主义核心价值观，维护民族团结和社会稳定，为实现“两个一百年”奋斗目标和中华民族伟大复兴的中国梦，培养造就德智体美全面发展的社会主义合格建设者和可靠接班人。</w:t>
      </w:r>
    </w:p>
    <w:p>
      <w:pPr>
        <w:ind w:firstLine="560" w:firstLineChars="200"/>
        <w:rPr>
          <w:rFonts w:cs="宋体" w:asciiTheme="minorEastAsia" w:hAnsiTheme="minorEastAsia" w:eastAsiaTheme="minorEastAsia"/>
          <w:sz w:val="40"/>
          <w:szCs w:val="28"/>
        </w:rPr>
      </w:pPr>
      <w:r>
        <w:rPr>
          <w:rFonts w:hint="eastAsia" w:ascii="宋体" w:hAnsi="宋体" w:cs="宋体"/>
          <w:sz w:val="28"/>
          <w:szCs w:val="28"/>
        </w:rPr>
        <w:t>学生思想品德良好，大部分学生具有积极向上的爱国信念，有着健康的身心、良好的审美情趣、高尚的道德情操、崇高理想信念和伟大人生价值追求。</w:t>
      </w:r>
    </w:p>
    <w:p>
      <w:pPr>
        <w:ind w:firstLine="560" w:firstLineChars="200"/>
        <w:rPr>
          <w:rFonts w:ascii="仿宋" w:hAnsi="仿宋" w:eastAsia="仿宋"/>
          <w:color w:val="auto"/>
          <w:sz w:val="28"/>
          <w:szCs w:val="28"/>
        </w:rPr>
      </w:pPr>
      <w:r>
        <w:rPr>
          <w:rFonts w:hint="eastAsia" w:ascii="宋体" w:hAnsi="宋体" w:cs="宋体"/>
          <w:color w:val="auto"/>
          <w:sz w:val="28"/>
          <w:szCs w:val="28"/>
        </w:rPr>
        <w:t>本年度学校未发生一起校园暴力事件及学生犯罪事件，无学生严重违纪。积极申请入团学生19人；积极申请入党学生7人；参与社会志愿服务活动12人；学生社团1个；学生参与社团人数达到12人。学生操行考核优良占大多数。</w:t>
      </w:r>
    </w:p>
    <w:p>
      <w:pPr>
        <w:spacing w:line="360" w:lineRule="auto"/>
        <w:jc w:val="center"/>
        <w:rPr>
          <w:rFonts w:ascii="宋体" w:hAnsi="宋体"/>
          <w:b/>
          <w:sz w:val="28"/>
          <w:szCs w:val="28"/>
        </w:rPr>
      </w:pPr>
      <w:r>
        <w:rPr>
          <w:rFonts w:hint="eastAsia" w:ascii="宋体" w:hAnsi="宋体"/>
          <w:b/>
          <w:sz w:val="28"/>
          <w:szCs w:val="28"/>
        </w:rPr>
        <w:drawing>
          <wp:inline distT="0" distB="0" distL="114300" distR="114300">
            <wp:extent cx="4273550" cy="2381250"/>
            <wp:effectExtent l="0" t="0" r="1270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360" w:lineRule="auto"/>
        <w:jc w:val="center"/>
        <w:rPr>
          <w:rFonts w:ascii="宋体" w:hAnsi="宋体"/>
          <w:b/>
          <w:sz w:val="28"/>
          <w:szCs w:val="28"/>
        </w:rPr>
      </w:pPr>
      <w:r>
        <w:rPr>
          <w:rFonts w:hint="eastAsia" w:ascii="宋体" w:hAnsi="宋体"/>
          <w:b/>
          <w:sz w:val="28"/>
          <w:szCs w:val="28"/>
        </w:rPr>
        <w:t>图2-1  2019年学生操行考核占比分布图</w:t>
      </w:r>
    </w:p>
    <w:p/>
    <w:p>
      <w:pPr>
        <w:ind w:firstLine="562" w:firstLineChars="200"/>
        <w:jc w:val="left"/>
        <w:rPr>
          <w:rFonts w:ascii="楷体" w:hAnsi="楷体" w:eastAsia="楷体" w:cs="宋体"/>
          <w:b/>
          <w:kern w:val="0"/>
          <w:sz w:val="28"/>
        </w:rPr>
      </w:pPr>
      <w:r>
        <w:rPr>
          <w:rFonts w:hint="eastAsia" w:ascii="楷体" w:hAnsi="楷体" w:eastAsia="楷体" w:cs="宋体"/>
          <w:b/>
          <w:kern w:val="0"/>
          <w:sz w:val="28"/>
        </w:rPr>
        <w:t>【案例1】阿坝高职学院、阿坝中职校举办民族团结专题讲座</w:t>
      </w:r>
    </w:p>
    <w:p>
      <w:pPr>
        <w:ind w:firstLine="560" w:firstLineChars="200"/>
        <w:jc w:val="left"/>
        <w:rPr>
          <w:rFonts w:ascii="楷体" w:hAnsi="楷体" w:eastAsia="楷体" w:cs="宋体"/>
          <w:bCs/>
          <w:kern w:val="0"/>
          <w:sz w:val="28"/>
        </w:rPr>
      </w:pPr>
      <w:r>
        <w:rPr>
          <w:rFonts w:hint="eastAsia" w:ascii="楷体" w:hAnsi="楷体" w:eastAsia="楷体" w:cs="宋体"/>
          <w:bCs/>
          <w:kern w:val="0"/>
          <w:sz w:val="28"/>
        </w:rPr>
        <w:t>为加快创建全国民族团结进步示范州，推动学校民族团结进步宣传教育活动的深入开展，近日，阿坝州中等职业技术学校党委副书记秋桑同志为阿坝高职学院和阿坝中职学校师生举办了以《民族团结是中华民族的悠久历史传统》为主题的专题教育讲座。</w:t>
      </w:r>
    </w:p>
    <w:p>
      <w:pPr>
        <w:jc w:val="center"/>
        <w:rPr>
          <w:rFonts w:ascii="楷体" w:hAnsi="楷体" w:eastAsia="楷体" w:cs="宋体"/>
          <w:bCs/>
          <w:kern w:val="0"/>
          <w:sz w:val="28"/>
        </w:rPr>
      </w:pPr>
      <w:r>
        <w:rPr>
          <w:rFonts w:hint="eastAsia" w:ascii="楷体" w:hAnsi="楷体" w:eastAsia="楷体" w:cs="宋体"/>
          <w:bCs/>
          <w:kern w:val="0"/>
          <w:sz w:val="28"/>
        </w:rPr>
        <w:drawing>
          <wp:inline distT="0" distB="0" distL="114300" distR="114300">
            <wp:extent cx="2419350" cy="1812290"/>
            <wp:effectExtent l="0" t="0" r="0" b="16510"/>
            <wp:docPr id="64" name="图片 64" descr="微信图片_201912091118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微信图片_20191209111807"/>
                    <pic:cNvPicPr>
                      <a:picLocks noChangeAspect="true"/>
                    </pic:cNvPicPr>
                  </pic:nvPicPr>
                  <pic:blipFill>
                    <a:blip r:embed="rId28"/>
                    <a:stretch>
                      <a:fillRect/>
                    </a:stretch>
                  </pic:blipFill>
                  <pic:spPr>
                    <a:xfrm>
                      <a:off x="0" y="0"/>
                      <a:ext cx="2419350" cy="1812290"/>
                    </a:xfrm>
                    <a:prstGeom prst="rect">
                      <a:avLst/>
                    </a:prstGeom>
                  </pic:spPr>
                </pic:pic>
              </a:graphicData>
            </a:graphic>
          </wp:inline>
        </w:drawing>
      </w:r>
      <w:r>
        <w:rPr>
          <w:rFonts w:hint="eastAsia" w:ascii="楷体" w:hAnsi="楷体" w:eastAsia="楷体" w:cs="宋体"/>
          <w:bCs/>
          <w:kern w:val="0"/>
          <w:sz w:val="28"/>
        </w:rPr>
        <w:t xml:space="preserve"> </w:t>
      </w:r>
      <w:r>
        <w:rPr>
          <w:rFonts w:hint="eastAsia" w:ascii="楷体" w:hAnsi="楷体" w:eastAsia="楷体" w:cs="宋体"/>
          <w:bCs/>
          <w:kern w:val="0"/>
          <w:sz w:val="28"/>
        </w:rPr>
        <w:drawing>
          <wp:inline distT="0" distB="0" distL="114300" distR="114300">
            <wp:extent cx="2403475" cy="1802765"/>
            <wp:effectExtent l="0" t="0" r="15875" b="6985"/>
            <wp:docPr id="62" name="图片 62" descr="微信图片_201912091118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descr="微信图片_20191209111814"/>
                    <pic:cNvPicPr>
                      <a:picLocks noChangeAspect="true"/>
                    </pic:cNvPicPr>
                  </pic:nvPicPr>
                  <pic:blipFill>
                    <a:blip r:embed="rId29"/>
                    <a:stretch>
                      <a:fillRect/>
                    </a:stretch>
                  </pic:blipFill>
                  <pic:spPr>
                    <a:xfrm>
                      <a:off x="0" y="0"/>
                      <a:ext cx="2403475" cy="1802765"/>
                    </a:xfrm>
                    <a:prstGeom prst="rect">
                      <a:avLst/>
                    </a:prstGeom>
                  </pic:spPr>
                </pic:pic>
              </a:graphicData>
            </a:graphic>
          </wp:inline>
        </w:drawing>
      </w:r>
    </w:p>
    <w:p>
      <w:pPr>
        <w:ind w:firstLine="560" w:firstLineChars="200"/>
        <w:jc w:val="left"/>
        <w:rPr>
          <w:rFonts w:ascii="楷体" w:hAnsi="楷体" w:eastAsia="楷体" w:cs="宋体"/>
          <w:bCs/>
          <w:kern w:val="0"/>
          <w:sz w:val="28"/>
        </w:rPr>
      </w:pPr>
      <w:r>
        <w:rPr>
          <w:rFonts w:hint="eastAsia" w:ascii="楷体" w:hAnsi="楷体" w:eastAsia="楷体" w:cs="宋体"/>
          <w:bCs/>
          <w:kern w:val="0"/>
          <w:sz w:val="28"/>
        </w:rPr>
        <w:t>本次民族团结教育讲座是学校“民族团结月”活动的一项主要内容，讲座对进一步促使广大师生深入学习贯彻习近平新时代中国特色社会主义思想和党的十九大精神，深刻领会习近平总书记关于民族工作的重要论述，引导广大干部师生牢固树立民族团结一家情思想，铸牢中华民族共同体意识，构建和谐校园将产生积极的推动作用。</w:t>
      </w:r>
    </w:p>
    <w:p>
      <w:pPr>
        <w:ind w:firstLine="562" w:firstLineChars="200"/>
        <w:jc w:val="left"/>
        <w:rPr>
          <w:rFonts w:ascii="楷体" w:hAnsi="楷体" w:eastAsia="楷体" w:cs="宋体"/>
          <w:b/>
          <w:kern w:val="0"/>
          <w:sz w:val="28"/>
        </w:rPr>
      </w:pPr>
      <w:r>
        <w:rPr>
          <w:rFonts w:hint="eastAsia" w:ascii="楷体" w:hAnsi="楷体" w:eastAsia="楷体" w:cs="宋体"/>
          <w:b/>
          <w:kern w:val="0"/>
          <w:sz w:val="28"/>
        </w:rPr>
        <w:t>【案例2】探寻非遗足迹，传承文化精神感恩有你、重建家园</w:t>
      </w:r>
    </w:p>
    <w:p>
      <w:pPr>
        <w:keepNext w:val="0"/>
        <w:keepLines w:val="0"/>
        <w:widowControl/>
        <w:suppressLineNumbers w:val="0"/>
        <w:jc w:val="left"/>
        <w:rPr>
          <w:rFonts w:ascii="楷体" w:hAnsi="楷体" w:eastAsia="楷体" w:cs="宋体"/>
          <w:color w:val="000000"/>
          <w:sz w:val="28"/>
          <w:szCs w:val="28"/>
        </w:rPr>
      </w:pPr>
      <w:r>
        <w:rPr>
          <w:rFonts w:hint="eastAsia" w:ascii="楷体" w:hAnsi="楷体" w:eastAsia="楷体" w:cs="宋体"/>
          <w:color w:val="000000"/>
          <w:sz w:val="28"/>
          <w:szCs w:val="28"/>
        </w:rPr>
        <w:t>为加强党性修养、坚定理想信念，增强文化自信，进一步推进</w:t>
      </w:r>
      <w:r>
        <w:rPr>
          <w:rFonts w:hint="default" w:ascii="楷体" w:hAnsi="楷体" w:eastAsia="楷体" w:cs="宋体"/>
          <w:color w:val="000000"/>
          <w:sz w:val="28"/>
          <w:szCs w:val="28"/>
          <w:lang w:val="en-US" w:eastAsia="zh-CN"/>
        </w:rPr>
        <w:t>“不忘初心、牢记使命”</w:t>
      </w:r>
      <w:r>
        <w:rPr>
          <w:rFonts w:hint="eastAsia" w:ascii="楷体" w:hAnsi="楷体" w:eastAsia="楷体" w:cs="宋体"/>
          <w:color w:val="000000"/>
          <w:sz w:val="28"/>
          <w:szCs w:val="28"/>
        </w:rPr>
        <w:t>主题教育的深入开展，9月25日下午，阿坝州中职校全体师生来到九寨沟非遗文化纪念馆，参观教育基地</w:t>
      </w:r>
      <w:bookmarkStart w:id="144" w:name="_GoBack"/>
      <w:bookmarkEnd w:id="144"/>
      <w:r>
        <w:rPr>
          <w:rFonts w:hint="eastAsia" w:ascii="楷体" w:hAnsi="楷体" w:eastAsia="楷体" w:cs="宋体"/>
          <w:color w:val="000000"/>
          <w:sz w:val="28"/>
          <w:szCs w:val="28"/>
        </w:rPr>
        <w:t>，接受红色教育、革命历史教育，了解九寨沟县的历史变化和灾后重建情况。</w:t>
      </w:r>
    </w:p>
    <w:p>
      <w:pPr>
        <w:jc w:val="center"/>
        <w:rPr>
          <w:rFonts w:ascii="楷体" w:hAnsi="楷体" w:eastAsia="楷体" w:cs="宋体"/>
          <w:color w:val="000000"/>
          <w:sz w:val="28"/>
          <w:szCs w:val="28"/>
        </w:rPr>
      </w:pPr>
      <w:r>
        <w:rPr>
          <w:rFonts w:hint="eastAsia" w:ascii="楷体" w:hAnsi="楷体" w:eastAsia="楷体" w:cs="宋体"/>
          <w:color w:val="000000"/>
          <w:sz w:val="28"/>
          <w:szCs w:val="28"/>
        </w:rPr>
        <w:drawing>
          <wp:inline distT="0" distB="0" distL="114300" distR="114300">
            <wp:extent cx="2437765" cy="1826895"/>
            <wp:effectExtent l="0" t="0" r="635" b="1905"/>
            <wp:docPr id="61" name="图片 61" descr="微信图片_201912091039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微信图片_20191209103905"/>
                    <pic:cNvPicPr>
                      <a:picLocks noChangeAspect="true"/>
                    </pic:cNvPicPr>
                  </pic:nvPicPr>
                  <pic:blipFill>
                    <a:blip r:embed="rId30"/>
                    <a:stretch>
                      <a:fillRect/>
                    </a:stretch>
                  </pic:blipFill>
                  <pic:spPr>
                    <a:xfrm>
                      <a:off x="0" y="0"/>
                      <a:ext cx="2437765" cy="1826895"/>
                    </a:xfrm>
                    <a:prstGeom prst="rect">
                      <a:avLst/>
                    </a:prstGeom>
                  </pic:spPr>
                </pic:pic>
              </a:graphicData>
            </a:graphic>
          </wp:inline>
        </w:drawing>
      </w:r>
      <w:r>
        <w:rPr>
          <w:rFonts w:hint="eastAsia" w:ascii="楷体" w:hAnsi="楷体" w:eastAsia="楷体" w:cs="宋体"/>
          <w:color w:val="000000"/>
          <w:sz w:val="28"/>
          <w:szCs w:val="28"/>
        </w:rPr>
        <w:t xml:space="preserve"> </w:t>
      </w:r>
      <w:r>
        <w:rPr>
          <w:rFonts w:hint="eastAsia" w:ascii="楷体" w:hAnsi="楷体" w:eastAsia="楷体" w:cs="宋体"/>
          <w:color w:val="000000"/>
          <w:sz w:val="28"/>
          <w:szCs w:val="28"/>
        </w:rPr>
        <w:drawing>
          <wp:inline distT="0" distB="0" distL="114300" distR="114300">
            <wp:extent cx="2437130" cy="1821180"/>
            <wp:effectExtent l="0" t="0" r="1270" b="7620"/>
            <wp:docPr id="60" name="图片 60" descr="微信图片_201912091039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descr="微信图片_20191209103915"/>
                    <pic:cNvPicPr>
                      <a:picLocks noChangeAspect="true"/>
                    </pic:cNvPicPr>
                  </pic:nvPicPr>
                  <pic:blipFill>
                    <a:blip r:embed="rId31"/>
                    <a:stretch>
                      <a:fillRect/>
                    </a:stretch>
                  </pic:blipFill>
                  <pic:spPr>
                    <a:xfrm>
                      <a:off x="0" y="0"/>
                      <a:ext cx="2437130" cy="1821180"/>
                    </a:xfrm>
                    <a:prstGeom prst="rect">
                      <a:avLst/>
                    </a:prstGeom>
                  </pic:spPr>
                </pic:pic>
              </a:graphicData>
            </a:graphic>
          </wp:inline>
        </w:drawing>
      </w:r>
    </w:p>
    <w:p/>
    <w:p>
      <w:pPr>
        <w:ind w:firstLine="560" w:firstLineChars="200"/>
        <w:rPr>
          <w:rFonts w:ascii="宋体" w:hAnsi="宋体" w:cs="宋体"/>
          <w:color w:val="000000"/>
          <w:sz w:val="28"/>
          <w:szCs w:val="28"/>
        </w:rPr>
      </w:pPr>
      <w:r>
        <w:rPr>
          <w:rFonts w:hint="eastAsia" w:ascii="楷体" w:hAnsi="楷体" w:eastAsia="楷体" w:cs="宋体"/>
          <w:color w:val="000000"/>
          <w:sz w:val="28"/>
          <w:szCs w:val="28"/>
        </w:rPr>
        <w:t>活动现场，同学们在非遗馆里听讲中国非遗课程，观看九寨沟县非遗影视资料。随后分组参观了“感恩有你、重建家园”“全域发展新时期”“九寨精神”等灾后重建、历史发展、红色文化等，接受革命传统教育。学生们在此次参观文化产业示范基地活动中不仅学习了中国传统非遗知识，也进行了一次爱国主义教育。他们将继承好革命先辈矢志不渝的理想信念和坚定执着的忠诚品格，立足本职、锐意进取、不忘初心、继续前行，以自己的实际行动，为实现中华民族伟大复兴的中国梦而努力奋斗！</w:t>
      </w:r>
    </w:p>
    <w:p>
      <w:pPr>
        <w:ind w:firstLine="562" w:firstLineChars="200"/>
        <w:rPr>
          <w:rFonts w:ascii="宋体" w:hAnsi="宋体" w:cs="宋体"/>
          <w:b/>
          <w:bCs/>
          <w:color w:val="000000"/>
          <w:sz w:val="28"/>
          <w:szCs w:val="28"/>
        </w:rPr>
      </w:pPr>
      <w:r>
        <w:rPr>
          <w:rFonts w:hint="eastAsia" w:ascii="宋体" w:hAnsi="宋体" w:cs="宋体"/>
          <w:b/>
          <w:bCs/>
          <w:color w:val="000000"/>
          <w:sz w:val="28"/>
          <w:szCs w:val="28"/>
        </w:rPr>
        <w:t>2.1.2学生基本素质评价</w:t>
      </w:r>
    </w:p>
    <w:p>
      <w:pPr>
        <w:ind w:firstLine="560" w:firstLineChars="200"/>
        <w:rPr>
          <w:rFonts w:ascii="宋体" w:hAnsi="宋体" w:cs="宋体"/>
          <w:color w:val="000000"/>
          <w:sz w:val="28"/>
          <w:szCs w:val="28"/>
        </w:rPr>
      </w:pPr>
      <w:r>
        <w:rPr>
          <w:rFonts w:hint="eastAsia" w:ascii="宋体" w:hAnsi="宋体" w:cs="宋体"/>
          <w:color w:val="000000"/>
          <w:sz w:val="28"/>
          <w:szCs w:val="28"/>
        </w:rPr>
        <w:t>学校转变教育观念，明确工作思路，将职业教育定位于技能教育和“饭碗打造工程”，坚持以市场需求为导向，以学生技能培训为根本，以学生就业为目标，强化技能训练，重视实践操作，培养合格的实用型、技能型人才。学校畜牧兽医专业部学生泽朗初同学在“2019年中高职衔接学生技能大赛”项目中荣获三等奖。本年度学生基本素质考核情况见表2-</w:t>
      </w:r>
      <w:r>
        <w:rPr>
          <w:rFonts w:hint="eastAsia" w:ascii="宋体" w:hAnsi="宋体" w:cs="宋体"/>
          <w:color w:val="000000"/>
          <w:sz w:val="28"/>
          <w:szCs w:val="28"/>
          <w:lang w:val="en-US" w:eastAsia="zh-CN"/>
        </w:rPr>
        <w:t>1</w:t>
      </w:r>
      <w:r>
        <w:rPr>
          <w:rFonts w:hint="eastAsia" w:ascii="宋体" w:hAnsi="宋体" w:cs="宋体"/>
          <w:color w:val="000000"/>
          <w:sz w:val="28"/>
          <w:szCs w:val="28"/>
        </w:rPr>
        <w:t>。</w:t>
      </w:r>
    </w:p>
    <w:p>
      <w:pPr>
        <w:spacing w:line="360" w:lineRule="auto"/>
        <w:jc w:val="center"/>
        <w:rPr>
          <w:rFonts w:ascii="宋体" w:hAnsi="宋体"/>
          <w:b/>
          <w:sz w:val="28"/>
          <w:szCs w:val="28"/>
        </w:rPr>
      </w:pPr>
      <w:r>
        <w:rPr>
          <w:rFonts w:hint="eastAsia" w:ascii="宋体" w:hAnsi="宋体"/>
          <w:b/>
          <w:sz w:val="28"/>
          <w:szCs w:val="28"/>
        </w:rPr>
        <w:t>表2-</w:t>
      </w:r>
      <w:r>
        <w:rPr>
          <w:rFonts w:hint="eastAsia" w:ascii="宋体" w:hAnsi="宋体"/>
          <w:b/>
          <w:sz w:val="28"/>
          <w:szCs w:val="28"/>
          <w:lang w:val="en-US" w:eastAsia="zh-CN"/>
        </w:rPr>
        <w:t>1</w:t>
      </w:r>
      <w:r>
        <w:rPr>
          <w:rFonts w:hint="eastAsia" w:ascii="宋体" w:hAnsi="宋体"/>
          <w:b/>
          <w:sz w:val="28"/>
          <w:szCs w:val="28"/>
        </w:rPr>
        <w:t xml:space="preserve"> 2018-2019年学生基本素质评价情况</w:t>
      </w:r>
    </w:p>
    <w:tbl>
      <w:tblPr>
        <w:tblStyle w:val="11"/>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1983"/>
        <w:gridCol w:w="1643"/>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50"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指标</w:t>
            </w:r>
          </w:p>
        </w:tc>
        <w:tc>
          <w:tcPr>
            <w:tcW w:w="1983"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2018年</w:t>
            </w:r>
          </w:p>
        </w:tc>
        <w:tc>
          <w:tcPr>
            <w:tcW w:w="1643"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2019年</w:t>
            </w:r>
          </w:p>
        </w:tc>
        <w:tc>
          <w:tcPr>
            <w:tcW w:w="1693"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b/>
                <w:color w:val="FFFFFF" w:themeColor="background1"/>
                <w:sz w:val="24"/>
                <w14:textFill>
                  <w14:solidFill>
                    <w14:schemeClr w14:val="bg1"/>
                  </w14:solidFill>
                </w14:textFill>
              </w:rPr>
              <w:t>增减率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文化课合格率</w:t>
            </w:r>
          </w:p>
        </w:tc>
        <w:tc>
          <w:tcPr>
            <w:tcW w:w="19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52%</w:t>
            </w:r>
          </w:p>
        </w:tc>
        <w:tc>
          <w:tcPr>
            <w:tcW w:w="164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themeColor="text1"/>
                <w:sz w:val="24"/>
                <w14:textFill>
                  <w14:solidFill>
                    <w14:schemeClr w14:val="tx1"/>
                  </w14:solidFill>
                </w14:textFill>
              </w:rPr>
            </w:pPr>
            <w:r>
              <w:rPr>
                <w:rFonts w:hint="eastAsia" w:ascii="宋体" w:hAnsi="宋体" w:cs="宋体"/>
                <w:color w:val="000000"/>
                <w:kern w:val="0"/>
                <w:sz w:val="24"/>
                <w:lang w:bidi="ar"/>
              </w:rPr>
              <w:t>52%</w:t>
            </w:r>
          </w:p>
        </w:tc>
        <w:tc>
          <w:tcPr>
            <w:tcW w:w="16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auto"/>
                <w:sz w:val="24"/>
              </w:rPr>
              <w:t>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体质测评合格率</w:t>
            </w:r>
          </w:p>
        </w:tc>
        <w:tc>
          <w:tcPr>
            <w:tcW w:w="19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93%</w:t>
            </w:r>
          </w:p>
        </w:tc>
        <w:tc>
          <w:tcPr>
            <w:tcW w:w="164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themeColor="text1"/>
                <w:sz w:val="24"/>
                <w14:textFill>
                  <w14:solidFill>
                    <w14:schemeClr w14:val="tx1"/>
                  </w14:solidFill>
                </w14:textFill>
              </w:rPr>
            </w:pPr>
            <w:r>
              <w:rPr>
                <w:rFonts w:hint="eastAsia" w:ascii="宋体" w:hAnsi="宋体" w:cs="宋体"/>
                <w:color w:val="000000"/>
                <w:kern w:val="0"/>
                <w:sz w:val="24"/>
                <w:lang w:bidi="ar"/>
              </w:rPr>
              <w:t>93%</w:t>
            </w:r>
          </w:p>
        </w:tc>
        <w:tc>
          <w:tcPr>
            <w:tcW w:w="16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专业技能合格率</w:t>
            </w:r>
          </w:p>
        </w:tc>
        <w:tc>
          <w:tcPr>
            <w:tcW w:w="19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72%</w:t>
            </w:r>
          </w:p>
        </w:tc>
        <w:tc>
          <w:tcPr>
            <w:tcW w:w="164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themeColor="text1"/>
                <w:sz w:val="24"/>
                <w14:textFill>
                  <w14:solidFill>
                    <w14:schemeClr w14:val="tx1"/>
                  </w14:solidFill>
                </w14:textFill>
              </w:rPr>
            </w:pPr>
            <w:r>
              <w:rPr>
                <w:rFonts w:hint="eastAsia" w:ascii="宋体" w:hAnsi="宋体" w:cs="宋体"/>
                <w:color w:val="000000"/>
                <w:kern w:val="0"/>
                <w:sz w:val="24"/>
                <w:lang w:bidi="ar"/>
              </w:rPr>
              <w:t>65%</w:t>
            </w:r>
          </w:p>
        </w:tc>
        <w:tc>
          <w:tcPr>
            <w:tcW w:w="16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职业资格证书数</w:t>
            </w:r>
          </w:p>
        </w:tc>
        <w:tc>
          <w:tcPr>
            <w:tcW w:w="19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21</w:t>
            </w:r>
          </w:p>
        </w:tc>
        <w:tc>
          <w:tcPr>
            <w:tcW w:w="164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themeColor="text1"/>
                <w:sz w:val="24"/>
                <w14:textFill>
                  <w14:solidFill>
                    <w14:schemeClr w14:val="tx1"/>
                  </w14:solidFill>
                </w14:textFill>
              </w:rPr>
            </w:pPr>
            <w:r>
              <w:rPr>
                <w:rFonts w:hint="eastAsia" w:ascii="宋体" w:hAnsi="宋体" w:cs="宋体"/>
                <w:color w:val="000000"/>
                <w:kern w:val="0"/>
                <w:sz w:val="24"/>
                <w:lang w:bidi="ar"/>
              </w:rPr>
              <w:t>14</w:t>
            </w:r>
          </w:p>
        </w:tc>
        <w:tc>
          <w:tcPr>
            <w:tcW w:w="16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双证书获取率</w:t>
            </w:r>
          </w:p>
        </w:tc>
        <w:tc>
          <w:tcPr>
            <w:tcW w:w="19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95%</w:t>
            </w:r>
          </w:p>
        </w:tc>
        <w:tc>
          <w:tcPr>
            <w:tcW w:w="164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themeColor="text1"/>
                <w:sz w:val="24"/>
                <w14:textFill>
                  <w14:solidFill>
                    <w14:schemeClr w14:val="tx1"/>
                  </w14:solidFill>
                </w14:textFill>
              </w:rPr>
            </w:pPr>
            <w:r>
              <w:rPr>
                <w:rFonts w:hint="eastAsia" w:ascii="宋体" w:hAnsi="宋体" w:cs="宋体"/>
                <w:color w:val="000000"/>
                <w:kern w:val="0"/>
                <w:sz w:val="24"/>
                <w:lang w:bidi="ar"/>
              </w:rPr>
              <w:t>66%</w:t>
            </w:r>
          </w:p>
        </w:tc>
        <w:tc>
          <w:tcPr>
            <w:tcW w:w="16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毕业率</w:t>
            </w:r>
          </w:p>
        </w:tc>
        <w:tc>
          <w:tcPr>
            <w:tcW w:w="19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themeColor="text1"/>
                <w:kern w:val="0"/>
                <w:sz w:val="24"/>
                <w:lang w:bidi="ar"/>
                <w14:textFill>
                  <w14:solidFill>
                    <w14:schemeClr w14:val="tx1"/>
                  </w14:solidFill>
                </w14:textFill>
              </w:rPr>
              <w:t>92</w:t>
            </w:r>
          </w:p>
        </w:tc>
        <w:tc>
          <w:tcPr>
            <w:tcW w:w="164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themeColor="text1"/>
                <w:sz w:val="24"/>
                <w14:textFill>
                  <w14:solidFill>
                    <w14:schemeClr w14:val="tx1"/>
                  </w14:solidFill>
                </w14:textFill>
              </w:rPr>
            </w:pPr>
            <w:r>
              <w:rPr>
                <w:rFonts w:hint="eastAsia" w:ascii="宋体" w:hAnsi="宋体" w:cs="宋体"/>
                <w:color w:val="000000"/>
                <w:kern w:val="0"/>
                <w:sz w:val="24"/>
                <w:lang w:bidi="ar"/>
              </w:rPr>
              <w:t>93</w:t>
            </w:r>
          </w:p>
        </w:tc>
        <w:tc>
          <w:tcPr>
            <w:tcW w:w="16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r>
    </w:tbl>
    <w:p/>
    <w:p>
      <w:pPr>
        <w:pStyle w:val="3"/>
        <w:ind w:firstLine="562"/>
      </w:pPr>
      <w:bookmarkStart w:id="29" w:name="_Toc28128"/>
      <w:bookmarkStart w:id="30" w:name="_Toc531602777"/>
      <w:bookmarkStart w:id="31" w:name="_Toc531679152"/>
      <w:bookmarkStart w:id="32" w:name="_Toc531602429"/>
      <w:r>
        <w:rPr>
          <w:rFonts w:ascii="黑体" w:hAnsi="黑体"/>
        </w:rPr>
        <w:t>2.2</w:t>
      </w:r>
      <w:r>
        <w:t>在校体验</w:t>
      </w:r>
      <w:bookmarkEnd w:id="29"/>
      <w:r>
        <w:rPr>
          <w:rFonts w:hint="eastAsia"/>
        </w:rPr>
        <w:t>：</w:t>
      </w:r>
      <w:bookmarkEnd w:id="30"/>
      <w:bookmarkEnd w:id="31"/>
      <w:bookmarkEnd w:id="32"/>
      <w:r>
        <w:rPr>
          <w:rFonts w:hint="eastAsia"/>
        </w:rPr>
        <w:t>办学不断改善 学生满意度逐年提升</w:t>
      </w:r>
    </w:p>
    <w:p>
      <w:pPr>
        <w:ind w:firstLine="560" w:firstLineChars="200"/>
        <w:rPr>
          <w:rFonts w:ascii="宋体" w:hAnsi="宋体"/>
          <w:b/>
          <w:sz w:val="28"/>
          <w:szCs w:val="28"/>
        </w:rPr>
      </w:pPr>
      <w:r>
        <w:rPr>
          <w:rFonts w:hint="eastAsia" w:asciiTheme="minorEastAsia" w:hAnsiTheme="minorEastAsia" w:eastAsiaTheme="minorEastAsia"/>
          <w:color w:val="000000"/>
          <w:sz w:val="28"/>
          <w:szCs w:val="28"/>
        </w:rPr>
        <w:t>本年度学校对在校生和毕业生进行了满意度调查，学生在校体验满意度保持较高水平。具体调研情况见图2-</w:t>
      </w:r>
      <w:r>
        <w:rPr>
          <w:rFonts w:hint="eastAsia" w:asciiTheme="minorEastAsia" w:hAnsiTheme="minorEastAsia" w:eastAsiaTheme="minorEastAsia"/>
          <w:color w:val="000000"/>
          <w:sz w:val="28"/>
          <w:szCs w:val="28"/>
          <w:lang w:val="en-US" w:eastAsia="zh-CN"/>
        </w:rPr>
        <w:t>2</w:t>
      </w:r>
      <w:r>
        <w:rPr>
          <w:rFonts w:hint="eastAsia" w:asciiTheme="minorEastAsia" w:hAnsiTheme="minorEastAsia" w:eastAsiaTheme="minorEastAsia"/>
          <w:color w:val="000000"/>
          <w:sz w:val="28"/>
          <w:szCs w:val="28"/>
        </w:rPr>
        <w:t>。</w:t>
      </w:r>
    </w:p>
    <w:p>
      <w:pPr>
        <w:jc w:val="center"/>
        <w:rPr>
          <w:rFonts w:ascii="宋体" w:hAnsi="宋体"/>
          <w:color w:val="000000"/>
          <w:sz w:val="28"/>
          <w:szCs w:val="28"/>
        </w:rPr>
      </w:pPr>
      <w:bookmarkStart w:id="33" w:name="_Toc23880"/>
      <w:bookmarkStart w:id="34" w:name="_Toc531602778"/>
      <w:bookmarkStart w:id="35" w:name="_Toc531679153"/>
      <w:bookmarkStart w:id="36" w:name="_Toc531602430"/>
      <w:r>
        <w:rPr>
          <w:rFonts w:ascii="宋体" w:hAnsi="宋体"/>
          <w:color w:val="000000"/>
          <w:sz w:val="28"/>
          <w:szCs w:val="28"/>
        </w:rPr>
        <w:drawing>
          <wp:inline distT="0" distB="0" distL="0" distR="0">
            <wp:extent cx="5262245" cy="2593340"/>
            <wp:effectExtent l="0" t="0" r="14605" b="1651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jc w:val="center"/>
        <w:rPr>
          <w:rFonts w:ascii="宋体" w:hAnsi="宋体"/>
          <w:color w:val="000000"/>
          <w:sz w:val="28"/>
          <w:szCs w:val="28"/>
        </w:rPr>
      </w:pPr>
      <w:r>
        <w:rPr>
          <w:rFonts w:hint="eastAsia" w:ascii="宋体" w:hAnsi="宋体"/>
          <w:b/>
          <w:sz w:val="28"/>
          <w:szCs w:val="28"/>
        </w:rPr>
        <w:t>图2-</w:t>
      </w:r>
      <w:r>
        <w:rPr>
          <w:rFonts w:hint="eastAsia" w:ascii="宋体" w:hAnsi="宋体"/>
          <w:b/>
          <w:sz w:val="28"/>
          <w:szCs w:val="28"/>
          <w:lang w:val="en-US" w:eastAsia="zh-CN"/>
        </w:rPr>
        <w:t>2</w:t>
      </w:r>
      <w:r>
        <w:rPr>
          <w:rFonts w:hint="eastAsia" w:ascii="宋体" w:hAnsi="宋体"/>
          <w:b/>
          <w:sz w:val="28"/>
          <w:szCs w:val="28"/>
        </w:rPr>
        <w:t xml:space="preserve"> 201</w:t>
      </w:r>
      <w:r>
        <w:rPr>
          <w:rFonts w:hint="eastAsia" w:ascii="宋体" w:hAnsi="宋体"/>
          <w:b/>
          <w:sz w:val="28"/>
          <w:szCs w:val="28"/>
          <w:lang w:val="en-US" w:eastAsia="zh-CN"/>
        </w:rPr>
        <w:t>9</w:t>
      </w:r>
      <w:r>
        <w:rPr>
          <w:rFonts w:hint="eastAsia" w:ascii="宋体" w:hAnsi="宋体"/>
          <w:b/>
          <w:sz w:val="28"/>
          <w:szCs w:val="28"/>
        </w:rPr>
        <w:t>年学生在校体验满意度调研数据图示</w:t>
      </w:r>
    </w:p>
    <w:p/>
    <w:p>
      <w:pPr>
        <w:pStyle w:val="3"/>
        <w:ind w:firstLine="562"/>
      </w:pPr>
      <w:r>
        <w:rPr>
          <w:rFonts w:ascii="黑体" w:hAnsi="黑体"/>
        </w:rPr>
        <w:t>2.3</w:t>
      </w:r>
      <w:r>
        <w:t>资助情况</w:t>
      </w:r>
      <w:bookmarkEnd w:id="33"/>
      <w:r>
        <w:rPr>
          <w:rFonts w:hint="eastAsia"/>
        </w:rPr>
        <w:t>：严格落实政策 实现应助尽助</w:t>
      </w:r>
      <w:bookmarkEnd w:id="34"/>
      <w:bookmarkEnd w:id="35"/>
      <w:bookmarkEnd w:id="36"/>
    </w:p>
    <w:p>
      <w:pPr>
        <w:ind w:firstLine="560" w:firstLineChars="200"/>
        <w:rPr>
          <w:rFonts w:ascii="宋体" w:hAnsi="宋体" w:cs="宋体"/>
          <w:color w:val="000000"/>
          <w:sz w:val="28"/>
          <w:szCs w:val="28"/>
        </w:rPr>
      </w:pPr>
      <w:r>
        <w:rPr>
          <w:rFonts w:hint="eastAsia" w:ascii="宋体" w:hAnsi="宋体" w:cs="宋体"/>
          <w:color w:val="000000"/>
          <w:sz w:val="28"/>
          <w:szCs w:val="28"/>
        </w:rPr>
        <w:t>学校严格落实藏区免费职业教育中职资助政策，按国家相关资助政策要求做好学生资助申请表的填报、学生资助信息的审核、公示及申报工作。</w:t>
      </w:r>
    </w:p>
    <w:p>
      <w:pPr>
        <w:ind w:firstLine="560" w:firstLineChars="200"/>
        <w:rPr>
          <w:rFonts w:ascii="宋体" w:hAnsi="宋体" w:cs="宋体"/>
          <w:color w:val="000000"/>
          <w:sz w:val="28"/>
          <w:szCs w:val="28"/>
        </w:rPr>
      </w:pPr>
      <w:r>
        <w:rPr>
          <w:rFonts w:hint="eastAsia" w:ascii="宋体" w:hAnsi="宋体" w:cs="宋体"/>
          <w:color w:val="000000"/>
          <w:sz w:val="28"/>
          <w:szCs w:val="28"/>
        </w:rPr>
        <w:t>在新生入学时，由班主任老师负责组织本班学生认真填报资助申请表，并对受助学生名单及信息在校内进行不少于5个工作日的公示，公示期间接受学生咨询和反馈，并及时予以调整和修正，最后将审核结果上报相关部门审批、备案。学校资助中心为所有审核合格的受助学生及时办理“中职学生资助卡”，并发放到学生手上,并由学生签字确认；每月对各班级学生人数、资助卡卡号进行核对，以便及时有效的发放国家助学金。</w:t>
      </w:r>
    </w:p>
    <w:p>
      <w:pPr>
        <w:ind w:firstLine="560" w:firstLineChars="200"/>
        <w:rPr>
          <w:rFonts w:ascii="宋体" w:hAnsi="宋体" w:cs="宋体"/>
          <w:color w:val="000000"/>
          <w:sz w:val="28"/>
          <w:szCs w:val="28"/>
        </w:rPr>
      </w:pPr>
      <w:r>
        <w:rPr>
          <w:rFonts w:hint="eastAsia" w:ascii="宋体" w:hAnsi="宋体" w:cs="宋体"/>
          <w:color w:val="000000"/>
          <w:sz w:val="28"/>
          <w:szCs w:val="28"/>
        </w:rPr>
        <w:t>本年度学校于2019年春季发放助学金56.1万元，免学费76.14万元；受助学生人数761人；2019年秋季发放助学金654.93万元，免学费70.46万元；受助学生人数705人。</w:t>
      </w:r>
    </w:p>
    <w:p>
      <w:pPr>
        <w:pStyle w:val="3"/>
        <w:ind w:firstLine="562"/>
      </w:pPr>
      <w:bookmarkStart w:id="37" w:name="_Toc21527"/>
      <w:bookmarkStart w:id="38" w:name="_Toc531679154"/>
      <w:bookmarkStart w:id="39" w:name="_Toc531602431"/>
      <w:bookmarkStart w:id="40" w:name="_Toc531602779"/>
      <w:r>
        <w:rPr>
          <w:rFonts w:ascii="黑体" w:hAnsi="黑体"/>
        </w:rPr>
        <w:t>2.4</w:t>
      </w:r>
      <w:r>
        <w:t>就业质量</w:t>
      </w:r>
      <w:bookmarkEnd w:id="37"/>
      <w:r>
        <w:rPr>
          <w:rFonts w:hint="eastAsia"/>
        </w:rPr>
        <w:t>：</w:t>
      </w:r>
      <w:bookmarkEnd w:id="38"/>
      <w:bookmarkEnd w:id="39"/>
      <w:bookmarkEnd w:id="40"/>
      <w:r>
        <w:rPr>
          <w:rFonts w:hint="eastAsia"/>
        </w:rPr>
        <w:t>深化校企合作 创新就业渠道</w:t>
      </w:r>
    </w:p>
    <w:p>
      <w:pPr>
        <w:ind w:firstLine="560" w:firstLineChars="200"/>
        <w:rPr>
          <w:rFonts w:ascii="宋体" w:hAnsi="宋体" w:cs="宋体"/>
          <w:color w:val="000000"/>
          <w:sz w:val="28"/>
          <w:szCs w:val="28"/>
        </w:rPr>
      </w:pPr>
      <w:r>
        <w:rPr>
          <w:rFonts w:hint="eastAsia" w:ascii="宋体" w:hAnsi="宋体" w:cs="宋体"/>
          <w:color w:val="000000"/>
          <w:sz w:val="28"/>
          <w:szCs w:val="28"/>
        </w:rPr>
        <w:t>学校严格遵照执行国家“三结合”就业政策，坚持“学校有责推荐、用人单位面试、学生自愿选择”的原则，严格执行“就业服务流程”体系，实施优生先推、优生优推、技能技术达标的前提下可跨专业择业的优惠政策。</w:t>
      </w:r>
    </w:p>
    <w:p>
      <w:pPr>
        <w:ind w:firstLine="560" w:firstLineChars="200"/>
        <w:rPr>
          <w:rFonts w:ascii="宋体" w:hAnsi="宋体" w:cs="宋体"/>
          <w:color w:val="000000"/>
          <w:sz w:val="28"/>
          <w:szCs w:val="28"/>
        </w:rPr>
      </w:pPr>
      <w:r>
        <w:rPr>
          <w:rFonts w:hint="eastAsia" w:ascii="宋体" w:hAnsi="宋体" w:cs="宋体"/>
          <w:color w:val="000000"/>
          <w:sz w:val="28"/>
          <w:szCs w:val="28"/>
        </w:rPr>
        <w:t>本年度共毕业371人，就业353人，毕业生初次就业率95.22%；对口就业282人，对口就业率80.06%，初次就业起薪平均约2000元。各专业就业统计见表2-2。</w:t>
      </w:r>
    </w:p>
    <w:p>
      <w:pPr>
        <w:jc w:val="center"/>
        <w:rPr>
          <w:rFonts w:ascii="宋体" w:hAnsi="宋体" w:cs="宋体"/>
          <w:b/>
          <w:bCs/>
          <w:color w:val="000000"/>
          <w:sz w:val="28"/>
          <w:szCs w:val="28"/>
        </w:rPr>
      </w:pPr>
      <w:r>
        <w:rPr>
          <w:rFonts w:hint="eastAsia" w:ascii="宋体" w:hAnsi="宋体" w:cs="宋体"/>
          <w:b/>
          <w:bCs/>
          <w:color w:val="000000"/>
          <w:sz w:val="28"/>
          <w:szCs w:val="28"/>
        </w:rPr>
        <w:t>表2-2 2019年各专业毕业生就业情况统计表</w:t>
      </w:r>
    </w:p>
    <w:tbl>
      <w:tblPr>
        <w:tblStyle w:val="11"/>
        <w:tblW w:w="9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1410"/>
        <w:gridCol w:w="1500"/>
        <w:gridCol w:w="150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15"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jc w:val="center"/>
              <w:textAlignment w:val="center"/>
              <w:rPr>
                <w:rFonts w:ascii="宋体" w:hAnsi="宋体"/>
                <w:b/>
                <w:bCs/>
                <w:color w:val="FFFFFF" w:themeColor="background1"/>
                <w:sz w:val="24"/>
                <w14:textFill>
                  <w14:solidFill>
                    <w14:schemeClr w14:val="bg1"/>
                  </w14:solidFill>
                </w14:textFill>
              </w:rPr>
            </w:pPr>
            <w:r>
              <w:rPr>
                <w:rFonts w:hint="eastAsia" w:ascii="宋体" w:hAnsi="宋体" w:cs="宋体"/>
                <w:b/>
                <w:bCs/>
                <w:color w:val="FFFFFF" w:themeColor="background1"/>
                <w:kern w:val="0"/>
                <w:sz w:val="24"/>
                <w:lang w:bidi="ar"/>
                <w14:textFill>
                  <w14:solidFill>
                    <w14:schemeClr w14:val="bg1"/>
                  </w14:solidFill>
                </w14:textFill>
              </w:rPr>
              <w:t>专业名称</w:t>
            </w:r>
          </w:p>
        </w:tc>
        <w:tc>
          <w:tcPr>
            <w:tcW w:w="1410"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jc w:val="center"/>
              <w:textAlignment w:val="center"/>
              <w:rPr>
                <w:rFonts w:ascii="宋体" w:hAnsi="宋体"/>
                <w:b/>
                <w:bCs/>
                <w:color w:val="FFFFFF" w:themeColor="background1"/>
                <w:sz w:val="24"/>
                <w14:textFill>
                  <w14:solidFill>
                    <w14:schemeClr w14:val="bg1"/>
                  </w14:solidFill>
                </w14:textFill>
              </w:rPr>
            </w:pPr>
            <w:r>
              <w:rPr>
                <w:rFonts w:hint="eastAsia" w:ascii="宋体" w:hAnsi="宋体" w:cs="宋体"/>
                <w:b/>
                <w:bCs/>
                <w:color w:val="FFFFFF" w:themeColor="background1"/>
                <w:kern w:val="0"/>
                <w:sz w:val="24"/>
                <w:lang w:bidi="ar"/>
                <w14:textFill>
                  <w14:solidFill>
                    <w14:schemeClr w14:val="bg1"/>
                  </w14:solidFill>
                </w14:textFill>
              </w:rPr>
              <w:t>毕业人数</w:t>
            </w:r>
          </w:p>
        </w:tc>
        <w:tc>
          <w:tcPr>
            <w:tcW w:w="1500"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jc w:val="center"/>
              <w:textAlignment w:val="center"/>
              <w:rPr>
                <w:rFonts w:ascii="宋体" w:hAnsi="宋体"/>
                <w:b/>
                <w:bCs/>
                <w:color w:val="FFFFFF" w:themeColor="background1"/>
                <w:sz w:val="24"/>
                <w14:textFill>
                  <w14:solidFill>
                    <w14:schemeClr w14:val="bg1"/>
                  </w14:solidFill>
                </w14:textFill>
              </w:rPr>
            </w:pPr>
            <w:r>
              <w:rPr>
                <w:rFonts w:hint="eastAsia" w:ascii="宋体" w:hAnsi="宋体" w:cs="宋体"/>
                <w:b/>
                <w:bCs/>
                <w:color w:val="FFFFFF" w:themeColor="background1"/>
                <w:kern w:val="0"/>
                <w:sz w:val="24"/>
                <w:lang w:bidi="ar"/>
                <w14:textFill>
                  <w14:solidFill>
                    <w14:schemeClr w14:val="bg1"/>
                  </w14:solidFill>
                </w14:textFill>
              </w:rPr>
              <w:t>就业率</w:t>
            </w:r>
          </w:p>
        </w:tc>
        <w:tc>
          <w:tcPr>
            <w:tcW w:w="1500"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jc w:val="center"/>
              <w:textAlignment w:val="center"/>
              <w:rPr>
                <w:rFonts w:ascii="宋体" w:hAnsi="宋体"/>
                <w:b/>
                <w:bCs/>
                <w:color w:val="FFFFFF" w:themeColor="background1"/>
                <w:sz w:val="24"/>
                <w14:textFill>
                  <w14:solidFill>
                    <w14:schemeClr w14:val="bg1"/>
                  </w14:solidFill>
                </w14:textFill>
              </w:rPr>
            </w:pPr>
            <w:r>
              <w:rPr>
                <w:rFonts w:hint="eastAsia" w:ascii="宋体" w:hAnsi="宋体" w:cs="宋体"/>
                <w:b/>
                <w:bCs/>
                <w:color w:val="FFFFFF" w:themeColor="background1"/>
                <w:kern w:val="0"/>
                <w:sz w:val="24"/>
                <w:lang w:bidi="ar"/>
                <w14:textFill>
                  <w14:solidFill>
                    <w14:schemeClr w14:val="bg1"/>
                  </w14:solidFill>
                </w14:textFill>
              </w:rPr>
              <w:t>对口就业率</w:t>
            </w:r>
          </w:p>
        </w:tc>
        <w:tc>
          <w:tcPr>
            <w:tcW w:w="2150"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widowControl/>
              <w:jc w:val="center"/>
              <w:textAlignment w:val="center"/>
              <w:rPr>
                <w:rFonts w:ascii="宋体" w:hAnsi="宋体"/>
                <w:b/>
                <w:bCs/>
                <w:color w:val="FFFFFF" w:themeColor="background1"/>
                <w:sz w:val="24"/>
                <w14:textFill>
                  <w14:solidFill>
                    <w14:schemeClr w14:val="bg1"/>
                  </w14:solidFill>
                </w14:textFill>
              </w:rPr>
            </w:pPr>
            <w:r>
              <w:rPr>
                <w:rFonts w:hint="eastAsia" w:ascii="宋体" w:hAnsi="宋体" w:cs="宋体"/>
                <w:b/>
                <w:bCs/>
                <w:color w:val="FFFFFF" w:themeColor="background1"/>
                <w:kern w:val="0"/>
                <w:sz w:val="24"/>
                <w:lang w:bidi="ar"/>
                <w14:textFill>
                  <w14:solidFill>
                    <w14:schemeClr w14:val="bg1"/>
                  </w14:solidFill>
                </w14:textFill>
              </w:rPr>
              <w:t>初次就业起薪(元)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27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会计</w:t>
            </w:r>
          </w:p>
        </w:tc>
        <w:tc>
          <w:tcPr>
            <w:tcW w:w="14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40</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themeColor="text1"/>
                <w:sz w:val="24"/>
                <w14:textFill>
                  <w14:solidFill>
                    <w14:schemeClr w14:val="tx1"/>
                  </w14:solidFill>
                </w14:textFill>
              </w:rPr>
            </w:pPr>
            <w:r>
              <w:rPr>
                <w:rFonts w:hint="eastAsia" w:ascii="宋体" w:hAnsi="宋体" w:cs="宋体"/>
                <w:color w:val="000000"/>
                <w:kern w:val="0"/>
                <w:sz w:val="24"/>
                <w:lang w:bidi="ar"/>
              </w:rPr>
              <w:t>95%</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87.50%</w:t>
            </w:r>
          </w:p>
        </w:tc>
        <w:tc>
          <w:tcPr>
            <w:tcW w:w="2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高星级饭店运营与管理</w:t>
            </w:r>
          </w:p>
        </w:tc>
        <w:tc>
          <w:tcPr>
            <w:tcW w:w="14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65</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themeColor="text1"/>
                <w:sz w:val="24"/>
                <w14:textFill>
                  <w14:solidFill>
                    <w14:schemeClr w14:val="tx1"/>
                  </w14:solidFill>
                </w14:textFill>
              </w:rPr>
            </w:pPr>
            <w:r>
              <w:rPr>
                <w:rFonts w:hint="eastAsia" w:ascii="宋体" w:hAnsi="宋体" w:cs="宋体"/>
                <w:color w:val="000000"/>
                <w:kern w:val="0"/>
                <w:sz w:val="24"/>
                <w:lang w:bidi="ar"/>
              </w:rPr>
              <w:t>89.20%</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84.60%</w:t>
            </w:r>
          </w:p>
        </w:tc>
        <w:tc>
          <w:tcPr>
            <w:tcW w:w="2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27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藏羌艺术</w:t>
            </w:r>
          </w:p>
        </w:tc>
        <w:tc>
          <w:tcPr>
            <w:tcW w:w="14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8</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themeColor="text1"/>
                <w:sz w:val="24"/>
                <w14:textFill>
                  <w14:solidFill>
                    <w14:schemeClr w14:val="tx1"/>
                  </w14:solidFill>
                </w14:textFill>
              </w:rPr>
            </w:pPr>
            <w:r>
              <w:rPr>
                <w:rFonts w:hint="eastAsia" w:ascii="宋体" w:hAnsi="宋体" w:cs="宋体"/>
                <w:color w:val="000000"/>
                <w:kern w:val="0"/>
                <w:sz w:val="24"/>
                <w:lang w:bidi="ar"/>
              </w:rPr>
              <w:t>87.50%</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87.50%</w:t>
            </w:r>
          </w:p>
        </w:tc>
        <w:tc>
          <w:tcPr>
            <w:tcW w:w="2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汽车运用与维修</w:t>
            </w:r>
          </w:p>
        </w:tc>
        <w:tc>
          <w:tcPr>
            <w:tcW w:w="14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15</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themeColor="text1"/>
                <w:sz w:val="24"/>
                <w14:textFill>
                  <w14:solidFill>
                    <w14:schemeClr w14:val="tx1"/>
                  </w14:solidFill>
                </w14:textFill>
              </w:rPr>
            </w:pPr>
            <w:r>
              <w:rPr>
                <w:rFonts w:hint="eastAsia" w:ascii="宋体" w:hAnsi="宋体" w:cs="宋体"/>
                <w:color w:val="000000"/>
                <w:kern w:val="0"/>
                <w:sz w:val="24"/>
                <w:lang w:bidi="ar"/>
              </w:rPr>
              <w:t>86.70%</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60%</w:t>
            </w:r>
          </w:p>
        </w:tc>
        <w:tc>
          <w:tcPr>
            <w:tcW w:w="2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27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机电技术应用</w:t>
            </w:r>
          </w:p>
        </w:tc>
        <w:tc>
          <w:tcPr>
            <w:tcW w:w="14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25</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themeColor="text1"/>
                <w:sz w:val="24"/>
                <w14:textFill>
                  <w14:solidFill>
                    <w14:schemeClr w14:val="tx1"/>
                  </w14:solidFill>
                </w14:textFill>
              </w:rPr>
            </w:pPr>
            <w:r>
              <w:rPr>
                <w:rFonts w:hint="eastAsia" w:ascii="宋体" w:hAnsi="宋体" w:cs="宋体"/>
                <w:color w:val="000000"/>
                <w:kern w:val="0"/>
                <w:sz w:val="24"/>
                <w:lang w:bidi="ar"/>
              </w:rPr>
              <w:t>92%</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72%</w:t>
            </w:r>
          </w:p>
        </w:tc>
        <w:tc>
          <w:tcPr>
            <w:tcW w:w="2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畜牧兽医</w:t>
            </w:r>
          </w:p>
        </w:tc>
        <w:tc>
          <w:tcPr>
            <w:tcW w:w="14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199</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themeColor="text1"/>
                <w:sz w:val="24"/>
                <w14:textFill>
                  <w14:solidFill>
                    <w14:schemeClr w14:val="tx1"/>
                  </w14:solidFill>
                </w14:textFill>
              </w:rPr>
            </w:pPr>
            <w:r>
              <w:rPr>
                <w:rFonts w:hint="eastAsia" w:ascii="宋体" w:hAnsi="宋体" w:cs="宋体"/>
                <w:color w:val="000000"/>
                <w:kern w:val="0"/>
                <w:sz w:val="24"/>
                <w:lang w:bidi="ar"/>
              </w:rPr>
              <w:t>98%</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83.40%</w:t>
            </w:r>
          </w:p>
        </w:tc>
        <w:tc>
          <w:tcPr>
            <w:tcW w:w="2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27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现代农艺技术</w:t>
            </w:r>
          </w:p>
        </w:tc>
        <w:tc>
          <w:tcPr>
            <w:tcW w:w="14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19</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themeColor="text1"/>
                <w:sz w:val="24"/>
                <w14:textFill>
                  <w14:solidFill>
                    <w14:schemeClr w14:val="tx1"/>
                  </w14:solidFill>
                </w14:textFill>
              </w:rPr>
            </w:pPr>
            <w:r>
              <w:rPr>
                <w:rFonts w:hint="eastAsia" w:ascii="宋体" w:hAnsi="宋体" w:cs="宋体"/>
                <w:color w:val="000000"/>
                <w:kern w:val="0"/>
                <w:sz w:val="24"/>
                <w:lang w:bidi="ar"/>
              </w:rPr>
              <w:t>94.70%</w:t>
            </w:r>
          </w:p>
        </w:tc>
        <w:tc>
          <w:tcPr>
            <w:tcW w:w="15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78.90%</w:t>
            </w:r>
          </w:p>
        </w:tc>
        <w:tc>
          <w:tcPr>
            <w:tcW w:w="2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olor w:val="000000"/>
                <w:sz w:val="24"/>
              </w:rPr>
            </w:pPr>
            <w:r>
              <w:rPr>
                <w:rFonts w:hint="eastAsia" w:ascii="宋体" w:hAnsi="宋体" w:cs="宋体"/>
                <w:color w:val="000000"/>
                <w:kern w:val="0"/>
                <w:sz w:val="24"/>
                <w:lang w:bidi="ar"/>
              </w:rPr>
              <w:t>1800</w:t>
            </w:r>
          </w:p>
        </w:tc>
      </w:tr>
    </w:tbl>
    <w:p/>
    <w:p>
      <w:pPr>
        <w:ind w:firstLine="560" w:firstLineChars="200"/>
        <w:rPr>
          <w:rFonts w:ascii="宋体" w:hAnsi="宋体" w:cs="宋体"/>
          <w:color w:val="000000"/>
          <w:sz w:val="28"/>
          <w:szCs w:val="28"/>
        </w:rPr>
      </w:pPr>
      <w:r>
        <w:rPr>
          <w:rFonts w:hint="eastAsia" w:ascii="宋体" w:hAnsi="宋体" w:cs="宋体"/>
          <w:color w:val="000000"/>
          <w:sz w:val="28"/>
          <w:szCs w:val="28"/>
        </w:rPr>
        <w:t>为拓展学生就业渠道，学校大力推进校企合作、校企深度融合，继续探索建立现代新型学徒制，与企业联合招生、共同培养、一体化育人，实行“招生即招工、入校即入厂”的校企合作培养模式，促进产教融合，与四川能投九寨沟宏义投资有限公司、九寨沟神仙池景区、成都鸡毛店餐饮集团等企业进行校企合作，探索校企深度融合的途径与方式，为企业提供高质量的技能人才。</w:t>
      </w:r>
    </w:p>
    <w:p>
      <w:pPr>
        <w:ind w:firstLine="560" w:firstLineChars="200"/>
        <w:rPr>
          <w:rFonts w:ascii="宋体" w:hAnsi="宋体" w:cs="宋体"/>
          <w:color w:val="000000"/>
          <w:sz w:val="28"/>
          <w:szCs w:val="28"/>
        </w:rPr>
      </w:pPr>
      <w:r>
        <w:rPr>
          <w:rFonts w:hint="eastAsia" w:ascii="宋体" w:hAnsi="宋体" w:cs="宋体"/>
          <w:color w:val="000000"/>
          <w:sz w:val="28"/>
          <w:szCs w:val="28"/>
        </w:rPr>
        <w:t>与上年相比，本年度学校毕业生初次就业率、专业对口就业率基本一致，顶岗实习半年以上稳定率略有下降。2018-2019年毕业生就业数据变化情况见表2-3。</w:t>
      </w:r>
    </w:p>
    <w:p>
      <w:pPr>
        <w:jc w:val="center"/>
        <w:rPr>
          <w:rFonts w:ascii="宋体" w:hAnsi="宋体" w:cs="宋体"/>
          <w:b/>
          <w:bCs/>
          <w:color w:val="000000"/>
          <w:sz w:val="28"/>
          <w:szCs w:val="28"/>
        </w:rPr>
      </w:pPr>
      <w:r>
        <w:rPr>
          <w:rFonts w:hint="eastAsia" w:ascii="宋体" w:hAnsi="宋体" w:cs="宋体"/>
          <w:b/>
          <w:bCs/>
          <w:color w:val="000000"/>
          <w:sz w:val="28"/>
          <w:szCs w:val="28"/>
        </w:rPr>
        <w:t>表2-3 2018-2019年学生毕业数据对比情况</w:t>
      </w:r>
    </w:p>
    <w:tbl>
      <w:tblPr>
        <w:tblStyle w:val="11"/>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1246"/>
        <w:gridCol w:w="1701"/>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28"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指标</w:t>
            </w:r>
          </w:p>
        </w:tc>
        <w:tc>
          <w:tcPr>
            <w:tcW w:w="1246"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2018年</w:t>
            </w:r>
          </w:p>
        </w:tc>
        <w:tc>
          <w:tcPr>
            <w:tcW w:w="1701"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2019年</w:t>
            </w:r>
          </w:p>
        </w:tc>
        <w:tc>
          <w:tcPr>
            <w:tcW w:w="1372"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360" w:lineRule="auto"/>
              <w:jc w:val="center"/>
              <w:rPr>
                <w:rFonts w:ascii="宋体" w:hAnsi="宋体"/>
                <w:b/>
                <w:color w:val="FFFFFF" w:themeColor="background1"/>
                <w:sz w:val="24"/>
                <w14:textFill>
                  <w14:solidFill>
                    <w14:schemeClr w14:val="bg1"/>
                  </w14:solidFill>
                </w14:textFill>
              </w:rPr>
            </w:pPr>
            <w:r>
              <w:rPr>
                <w:rFonts w:hint="eastAsia"/>
                <w:b/>
                <w:color w:val="FFFFFF" w:themeColor="background1"/>
                <w:sz w:val="24"/>
                <w14:textFill>
                  <w14:solidFill>
                    <w14:schemeClr w14:val="bg1"/>
                  </w14:solidFill>
                </w14:textFill>
              </w:rPr>
              <w:t>增减率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kern w:val="0"/>
                <w:sz w:val="24"/>
              </w:rPr>
            </w:pPr>
            <w:r>
              <w:rPr>
                <w:rFonts w:hint="eastAsia" w:ascii="宋体" w:hAnsi="宋体" w:cs="宋体"/>
                <w:color w:val="000000"/>
                <w:kern w:val="0"/>
                <w:sz w:val="24"/>
                <w:lang w:bidi="ar"/>
              </w:rPr>
              <w:t>毕业生初次就业率</w:t>
            </w:r>
          </w:p>
        </w:tc>
        <w:tc>
          <w:tcPr>
            <w:tcW w:w="12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95.60%</w:t>
            </w:r>
          </w:p>
        </w:tc>
        <w:tc>
          <w:tcPr>
            <w:tcW w:w="1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95.22%</w:t>
            </w:r>
          </w:p>
        </w:tc>
        <w:tc>
          <w:tcPr>
            <w:tcW w:w="1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kern w:val="0"/>
                <w:sz w:val="24"/>
              </w:rPr>
            </w:pPr>
            <w:r>
              <w:rPr>
                <w:rFonts w:hint="eastAsia" w:ascii="宋体" w:hAnsi="宋体" w:cs="宋体"/>
                <w:color w:val="000000"/>
                <w:kern w:val="0"/>
                <w:sz w:val="24"/>
                <w:lang w:bidi="ar"/>
              </w:rPr>
              <w:t>专业对口就业率</w:t>
            </w:r>
          </w:p>
        </w:tc>
        <w:tc>
          <w:tcPr>
            <w:tcW w:w="12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80.20%</w:t>
            </w:r>
          </w:p>
        </w:tc>
        <w:tc>
          <w:tcPr>
            <w:tcW w:w="1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80.06%</w:t>
            </w:r>
          </w:p>
        </w:tc>
        <w:tc>
          <w:tcPr>
            <w:tcW w:w="1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kern w:val="0"/>
                <w:sz w:val="24"/>
              </w:rPr>
            </w:pPr>
            <w:r>
              <w:rPr>
                <w:rFonts w:hint="eastAsia" w:ascii="宋体" w:hAnsi="宋体" w:cs="宋体"/>
                <w:color w:val="000000"/>
                <w:kern w:val="0"/>
                <w:sz w:val="24"/>
                <w:lang w:bidi="ar"/>
              </w:rPr>
              <w:t>顶岗实习半年以上稳定率</w:t>
            </w:r>
          </w:p>
        </w:tc>
        <w:tc>
          <w:tcPr>
            <w:tcW w:w="12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81.50%</w:t>
            </w:r>
          </w:p>
        </w:tc>
        <w:tc>
          <w:tcPr>
            <w:tcW w:w="1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75.60%</w:t>
            </w:r>
          </w:p>
        </w:tc>
        <w:tc>
          <w:tcPr>
            <w:tcW w:w="1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kern w:val="0"/>
                <w:sz w:val="24"/>
              </w:rPr>
            </w:pPr>
            <w:r>
              <w:rPr>
                <w:rFonts w:hint="eastAsia" w:ascii="宋体" w:hAnsi="宋体" w:cs="宋体"/>
                <w:color w:val="000000"/>
                <w:kern w:val="0"/>
                <w:sz w:val="24"/>
                <w:lang w:bidi="ar"/>
              </w:rPr>
              <w:t>初次就业月平均收入（元）</w:t>
            </w:r>
          </w:p>
        </w:tc>
        <w:tc>
          <w:tcPr>
            <w:tcW w:w="12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1950</w:t>
            </w:r>
          </w:p>
        </w:tc>
        <w:tc>
          <w:tcPr>
            <w:tcW w:w="1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2000</w:t>
            </w:r>
          </w:p>
        </w:tc>
        <w:tc>
          <w:tcPr>
            <w:tcW w:w="1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kern w:val="0"/>
                <w:sz w:val="24"/>
              </w:rPr>
            </w:pPr>
            <w:r>
              <w:rPr>
                <w:rFonts w:hint="eastAsia" w:ascii="宋体" w:hAnsi="宋体" w:cs="宋体"/>
                <w:color w:val="000000"/>
                <w:kern w:val="0"/>
                <w:sz w:val="24"/>
                <w:lang w:bidi="ar"/>
              </w:rPr>
              <w:t>自主创业率</w:t>
            </w:r>
          </w:p>
        </w:tc>
        <w:tc>
          <w:tcPr>
            <w:tcW w:w="12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4%</w:t>
            </w:r>
          </w:p>
        </w:tc>
        <w:tc>
          <w:tcPr>
            <w:tcW w:w="1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3%</w:t>
            </w:r>
          </w:p>
        </w:tc>
        <w:tc>
          <w:tcPr>
            <w:tcW w:w="1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1</w:t>
            </w:r>
            <w:r>
              <w:rPr>
                <w:rFonts w:hint="eastAsia" w:ascii="宋体" w:hAnsi="宋体" w:cs="宋体"/>
                <w:color w:val="000000"/>
                <w:sz w:val="24"/>
              </w:rPr>
              <w:t>%</w:t>
            </w:r>
          </w:p>
        </w:tc>
      </w:tr>
    </w:tbl>
    <w:p/>
    <w:p>
      <w:pPr>
        <w:spacing w:before="158" w:beforeLines="50" w:line="560" w:lineRule="exact"/>
        <w:ind w:firstLine="560" w:firstLineChars="200"/>
        <w:rPr>
          <w:rFonts w:ascii="宋体" w:hAnsi="宋体" w:cs="宋体"/>
          <w:color w:val="000000"/>
          <w:sz w:val="28"/>
          <w:szCs w:val="28"/>
        </w:rPr>
      </w:pPr>
      <w:r>
        <w:rPr>
          <w:rFonts w:hint="eastAsia" w:ascii="宋体" w:hAnsi="宋体" w:cs="宋体"/>
          <w:color w:val="000000"/>
          <w:sz w:val="28"/>
          <w:szCs w:val="28"/>
        </w:rPr>
        <w:t>从学生就业去向来看，毕业生在国有企事业单位就业比率为43%，到民营企业服务比例为17%；本年度学校大力推进“双元双向”国企定单班建设，学生就业单位性质有较大调整，到国有企事业单位就业比例增幅明显。</w:t>
      </w:r>
    </w:p>
    <w:p>
      <w:pPr>
        <w:jc w:val="center"/>
        <w:rPr>
          <w:rFonts w:ascii="宋体" w:hAnsi="宋体" w:cs="宋体"/>
          <w:color w:val="000000"/>
          <w:sz w:val="28"/>
          <w:szCs w:val="28"/>
        </w:rPr>
      </w:pPr>
      <w:r>
        <w:rPr>
          <w:rFonts w:ascii="宋体" w:hAnsi="宋体" w:cs="宋体"/>
          <w:color w:val="000000"/>
          <w:sz w:val="28"/>
          <w:szCs w:val="28"/>
        </w:rPr>
        <w:drawing>
          <wp:inline distT="0" distB="0" distL="114300" distR="114300">
            <wp:extent cx="3693160" cy="2379980"/>
            <wp:effectExtent l="0" t="0" r="2540" b="1270"/>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jc w:val="center"/>
        <w:rPr>
          <w:rFonts w:ascii="宋体" w:hAnsi="宋体" w:cs="宋体"/>
          <w:color w:val="000000"/>
          <w:sz w:val="28"/>
          <w:szCs w:val="28"/>
        </w:rPr>
      </w:pPr>
      <w:r>
        <w:rPr>
          <w:rFonts w:hint="eastAsia" w:ascii="宋体" w:hAnsi="宋体" w:cs="宋体"/>
          <w:b/>
          <w:bCs/>
          <w:color w:val="000000"/>
          <w:sz w:val="28"/>
          <w:szCs w:val="28"/>
        </w:rPr>
        <w:t>图2-</w:t>
      </w:r>
      <w:r>
        <w:rPr>
          <w:rFonts w:hint="eastAsia" w:ascii="宋体" w:hAnsi="宋体" w:cs="宋体"/>
          <w:b/>
          <w:bCs/>
          <w:color w:val="000000"/>
          <w:sz w:val="28"/>
          <w:szCs w:val="28"/>
          <w:lang w:val="en-US" w:eastAsia="zh-CN"/>
        </w:rPr>
        <w:t>3</w:t>
      </w:r>
      <w:r>
        <w:rPr>
          <w:rFonts w:hint="eastAsia" w:ascii="宋体" w:hAnsi="宋体" w:cs="宋体"/>
          <w:b/>
          <w:bCs/>
          <w:color w:val="000000"/>
          <w:sz w:val="28"/>
          <w:szCs w:val="28"/>
        </w:rPr>
        <w:t xml:space="preserve"> 2018-2019学校毕业生就业单位占比变化</w:t>
      </w:r>
    </w:p>
    <w:p>
      <w:pPr>
        <w:spacing w:before="158" w:beforeLines="50" w:line="560" w:lineRule="exact"/>
        <w:ind w:firstLine="560" w:firstLineChars="200"/>
        <w:rPr>
          <w:rFonts w:ascii="宋体" w:hAnsi="宋体" w:cs="宋体"/>
          <w:color w:val="000000"/>
          <w:sz w:val="28"/>
          <w:szCs w:val="28"/>
        </w:rPr>
      </w:pPr>
      <w:r>
        <w:rPr>
          <w:rFonts w:hint="eastAsia" w:ascii="宋体" w:hAnsi="宋体" w:cs="宋体"/>
          <w:color w:val="000000"/>
          <w:sz w:val="28"/>
          <w:szCs w:val="28"/>
        </w:rPr>
        <w:t>从学生就业产业看，毕业生到第一产业就业率为58%，到第二产就业率为5%，到第三产就业率为37%，产业分布比例与上年基本保持一致。</w:t>
      </w:r>
    </w:p>
    <w:p>
      <w:pPr>
        <w:spacing w:before="158" w:beforeLines="50"/>
        <w:jc w:val="center"/>
        <w:rPr>
          <w:rFonts w:ascii="宋体" w:hAnsi="宋体"/>
          <w:color w:val="000000"/>
          <w:sz w:val="28"/>
          <w:szCs w:val="28"/>
        </w:rPr>
      </w:pPr>
      <w:r>
        <w:rPr>
          <w:rFonts w:ascii="宋体" w:hAnsi="宋体"/>
          <w:color w:val="000000"/>
          <w:sz w:val="28"/>
          <w:szCs w:val="28"/>
        </w:rPr>
        <w:drawing>
          <wp:inline distT="0" distB="0" distL="0" distR="0">
            <wp:extent cx="4401820" cy="1991360"/>
            <wp:effectExtent l="0" t="0" r="17780" b="889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before="158" w:beforeLines="50"/>
        <w:jc w:val="center"/>
        <w:rPr>
          <w:rFonts w:ascii="宋体" w:hAnsi="宋体"/>
          <w:color w:val="000000"/>
          <w:sz w:val="28"/>
          <w:szCs w:val="28"/>
        </w:rPr>
      </w:pPr>
      <w:r>
        <w:rPr>
          <w:rFonts w:hint="eastAsia" w:ascii="宋体" w:hAnsi="宋体"/>
          <w:b/>
          <w:sz w:val="28"/>
          <w:szCs w:val="28"/>
        </w:rPr>
        <w:t>图2-</w:t>
      </w:r>
      <w:r>
        <w:rPr>
          <w:rFonts w:hint="eastAsia" w:ascii="宋体" w:hAnsi="宋体"/>
          <w:b/>
          <w:sz w:val="28"/>
          <w:szCs w:val="28"/>
          <w:lang w:val="en-US" w:eastAsia="zh-CN"/>
        </w:rPr>
        <w:t>4</w:t>
      </w:r>
      <w:r>
        <w:rPr>
          <w:rFonts w:hint="eastAsia" w:ascii="宋体" w:hAnsi="宋体"/>
          <w:b/>
          <w:sz w:val="28"/>
          <w:szCs w:val="28"/>
        </w:rPr>
        <w:t xml:space="preserve"> 学校毕业生就业产业比例示意图</w:t>
      </w:r>
    </w:p>
    <w:p>
      <w:pPr>
        <w:spacing w:before="158" w:beforeLines="50"/>
        <w:jc w:val="center"/>
        <w:rPr>
          <w:rFonts w:ascii="宋体" w:hAnsi="宋体"/>
          <w:color w:val="000000"/>
          <w:szCs w:val="21"/>
        </w:rPr>
      </w:pPr>
    </w:p>
    <w:p>
      <w:pPr>
        <w:pStyle w:val="3"/>
        <w:ind w:firstLine="562"/>
        <w:rPr>
          <w:color w:val="FF0000"/>
        </w:rPr>
      </w:pPr>
      <w:bookmarkStart w:id="41" w:name="_Toc1097"/>
      <w:bookmarkStart w:id="42" w:name="_Toc531679155"/>
      <w:bookmarkStart w:id="43" w:name="_Toc531602432"/>
      <w:bookmarkStart w:id="44" w:name="_Toc531602780"/>
      <w:bookmarkStart w:id="45" w:name="_Toc489899585"/>
      <w:r>
        <w:rPr>
          <w:rFonts w:ascii="黑体" w:hAnsi="黑体"/>
        </w:rPr>
        <w:t>2.5</w:t>
      </w:r>
      <w:r>
        <w:t>职业发展</w:t>
      </w:r>
      <w:bookmarkEnd w:id="41"/>
      <w:r>
        <w:rPr>
          <w:rFonts w:hint="eastAsia"/>
        </w:rPr>
        <w:t>：</w:t>
      </w:r>
      <w:bookmarkEnd w:id="42"/>
      <w:bookmarkEnd w:id="43"/>
      <w:bookmarkEnd w:id="44"/>
      <w:r>
        <w:rPr>
          <w:rFonts w:hint="eastAsia"/>
        </w:rPr>
        <w:t>强化观念培养 提升创新创业能力</w:t>
      </w:r>
    </w:p>
    <w:p>
      <w:pPr>
        <w:ind w:firstLine="560" w:firstLineChars="200"/>
        <w:rPr>
          <w:rFonts w:ascii="宋体" w:hAnsi="宋体" w:cs="宋体"/>
          <w:color w:val="000000"/>
          <w:sz w:val="28"/>
          <w:szCs w:val="28"/>
        </w:rPr>
      </w:pPr>
      <w:r>
        <w:rPr>
          <w:rFonts w:hint="eastAsia" w:ascii="宋体" w:hAnsi="宋体" w:cs="宋体"/>
          <w:color w:val="000000"/>
          <w:sz w:val="28"/>
          <w:szCs w:val="28"/>
        </w:rPr>
        <w:t>学校把培养学生的综合素质、创新精神和创业实践能力作为教育教学改革的重点，全面激活学生的知识潜能，使其成为具有基础能力、应变能力、社交能力、创造能力的实用型创新创业人才。</w:t>
      </w:r>
    </w:p>
    <w:p>
      <w:pPr>
        <w:ind w:firstLine="560" w:firstLineChars="200"/>
        <w:rPr>
          <w:rFonts w:ascii="宋体" w:hAnsi="宋体" w:cs="宋体"/>
          <w:color w:val="000000"/>
          <w:sz w:val="28"/>
          <w:szCs w:val="28"/>
        </w:rPr>
      </w:pPr>
      <w:r>
        <w:rPr>
          <w:rFonts w:hint="eastAsia" w:ascii="宋体" w:hAnsi="宋体" w:cs="宋体"/>
          <w:color w:val="000000"/>
          <w:sz w:val="28"/>
          <w:szCs w:val="28"/>
        </w:rPr>
        <w:t>学校调整课程结构，改革教学内容和教学方法，力求提升学生的创新创业能力。一是深入研究课程之间的内在联系，根据专业和学生特点，对课程进行适当的增减，对教材中有关培养创造力的课程内容重点讲授并进行实训演练，以提高教学效果。二是开设创业和就业指导课程。三是邀请成功人士、优秀毕业生、企业专家来校介绍创业、就业经验，使学生在就业、创业观念上有新的转变。</w:t>
      </w:r>
    </w:p>
    <w:p>
      <w:pPr>
        <w:ind w:firstLine="560" w:firstLineChars="200"/>
        <w:rPr>
          <w:sz w:val="28"/>
          <w:szCs w:val="28"/>
        </w:rPr>
      </w:pPr>
      <w:bookmarkStart w:id="46" w:name="_Toc531679156"/>
      <w:bookmarkStart w:id="47" w:name="_Toc19137"/>
      <w:bookmarkStart w:id="48" w:name="_Toc531602781"/>
      <w:bookmarkStart w:id="49" w:name="_Toc531602433"/>
      <w:r>
        <w:rPr>
          <w:rFonts w:hint="eastAsia"/>
          <w:sz w:val="28"/>
          <w:szCs w:val="28"/>
        </w:rPr>
        <w:t>学校办学以来培养了众多优秀毕业生。藏羌艺术专业毕业生壅美2017年代表羌族参加湖南卫视《天天向上》节目；藏羌艺术专业毕业生格桑旺真于2015年出版个人专辑，获第14届CCTV青年歌手大赛四川赛区优胜奖，创办成都华夏唱片公司，创作歌曲《爱的行囊》《酒绪》《美丽的金川》等；畜牧兽医专业毕业生周土金，创办茂县富民畜牧技术服务有限公司，年收入50万以上，在自主创业的同时带动周边农户增收。</w:t>
      </w:r>
    </w:p>
    <w:p>
      <w:pPr>
        <w:pStyle w:val="2"/>
        <w:ind w:firstLine="602"/>
        <w:rPr>
          <w:rFonts w:ascii="黑体" w:hAnsi="黑体"/>
        </w:rPr>
      </w:pPr>
      <w:r>
        <w:rPr>
          <w:rFonts w:hint="eastAsia" w:ascii="黑体" w:hAnsi="黑体"/>
        </w:rPr>
        <w:t>3.质量保障措施</w:t>
      </w:r>
      <w:bookmarkEnd w:id="45"/>
      <w:bookmarkEnd w:id="46"/>
      <w:bookmarkEnd w:id="47"/>
      <w:bookmarkEnd w:id="48"/>
      <w:bookmarkEnd w:id="49"/>
    </w:p>
    <w:p>
      <w:pPr>
        <w:pStyle w:val="3"/>
        <w:ind w:firstLine="562"/>
      </w:pPr>
      <w:bookmarkStart w:id="50" w:name="_Toc29536"/>
      <w:bookmarkStart w:id="51" w:name="_Toc531679157"/>
      <w:bookmarkStart w:id="52" w:name="_Toc531602782"/>
      <w:bookmarkStart w:id="53" w:name="_Toc531602434"/>
      <w:r>
        <w:rPr>
          <w:rFonts w:ascii="黑体" w:hAnsi="黑体"/>
        </w:rPr>
        <w:t>3.1</w:t>
      </w:r>
      <w:r>
        <w:t>专业动态调整</w:t>
      </w:r>
      <w:bookmarkEnd w:id="50"/>
      <w:r>
        <w:rPr>
          <w:rFonts w:hint="eastAsia"/>
        </w:rPr>
        <w:t>：</w:t>
      </w:r>
      <w:bookmarkEnd w:id="51"/>
      <w:bookmarkEnd w:id="52"/>
      <w:bookmarkEnd w:id="53"/>
      <w:r>
        <w:rPr>
          <w:rFonts w:hint="eastAsia"/>
        </w:rPr>
        <w:t>加强内涵建设 支持区域发展</w:t>
      </w:r>
    </w:p>
    <w:p>
      <w:pPr>
        <w:ind w:firstLine="560" w:firstLineChars="200"/>
        <w:rPr>
          <w:rFonts w:ascii="宋体" w:hAnsi="宋体" w:cs="宋体"/>
          <w:color w:val="000000"/>
          <w:sz w:val="28"/>
          <w:szCs w:val="28"/>
        </w:rPr>
      </w:pPr>
      <w:r>
        <w:rPr>
          <w:rFonts w:hint="eastAsia" w:ascii="宋体" w:hAnsi="宋体" w:cs="宋体"/>
          <w:color w:val="000000"/>
          <w:sz w:val="28"/>
          <w:szCs w:val="28"/>
        </w:rPr>
        <w:t>学校现开办有三大类1</w:t>
      </w:r>
      <w:r>
        <w:rPr>
          <w:rFonts w:hint="eastAsia" w:ascii="宋体" w:hAnsi="宋体" w:cs="宋体"/>
          <w:color w:val="000000"/>
          <w:sz w:val="28"/>
          <w:szCs w:val="28"/>
          <w:lang w:val="en-US" w:eastAsia="zh-CN"/>
        </w:rPr>
        <w:t>2</w:t>
      </w:r>
      <w:r>
        <w:rPr>
          <w:rFonts w:hint="eastAsia" w:ascii="宋体" w:hAnsi="宋体" w:cs="宋体"/>
          <w:color w:val="000000"/>
          <w:sz w:val="28"/>
          <w:szCs w:val="28"/>
        </w:rPr>
        <w:t>个专业,分别为</w:t>
      </w:r>
      <w:r>
        <w:rPr>
          <w:rFonts w:hint="eastAsia" w:ascii="宋体" w:hAnsi="宋体" w:cs="宋体"/>
          <w:color w:val="000000"/>
          <w:sz w:val="28"/>
          <w:szCs w:val="28"/>
          <w:lang w:eastAsia="zh-CN"/>
        </w:rPr>
        <w:t>农林牧渔</w:t>
      </w:r>
      <w:r>
        <w:rPr>
          <w:rFonts w:hint="eastAsia" w:ascii="宋体" w:hAnsi="宋体" w:cs="宋体"/>
          <w:color w:val="000000"/>
          <w:sz w:val="28"/>
          <w:szCs w:val="28"/>
        </w:rPr>
        <w:t>类（畜牧兽医专业</w:t>
      </w:r>
      <w:r>
        <w:rPr>
          <w:rFonts w:hint="eastAsia" w:ascii="宋体" w:hAnsi="宋体" w:cs="宋体"/>
          <w:color w:val="000000"/>
          <w:sz w:val="28"/>
          <w:szCs w:val="28"/>
          <w:lang w:eastAsia="zh-CN"/>
        </w:rPr>
        <w:t>、现代农艺技术专业、园林绿化专业</w:t>
      </w:r>
      <w:r>
        <w:rPr>
          <w:rFonts w:hint="eastAsia" w:ascii="宋体" w:hAnsi="宋体" w:cs="宋体"/>
          <w:color w:val="000000"/>
          <w:sz w:val="28"/>
          <w:szCs w:val="28"/>
        </w:rPr>
        <w:t>）</w:t>
      </w:r>
      <w:r>
        <w:rPr>
          <w:rFonts w:hint="eastAsia" w:ascii="宋体" w:hAnsi="宋体" w:cs="宋体"/>
          <w:color w:val="000000"/>
          <w:sz w:val="28"/>
          <w:szCs w:val="28"/>
          <w:lang w:eastAsia="zh-CN"/>
        </w:rPr>
        <w:t>、</w:t>
      </w:r>
      <w:r>
        <w:rPr>
          <w:rFonts w:hint="eastAsia" w:ascii="宋体" w:hAnsi="宋体" w:cs="宋体"/>
          <w:color w:val="000000"/>
          <w:sz w:val="28"/>
          <w:szCs w:val="28"/>
        </w:rPr>
        <w:t>旅游服务类（中餐烹饪与营养膳食专业、高星级饭店运营与管理专业</w:t>
      </w:r>
      <w:r>
        <w:rPr>
          <w:rFonts w:hint="eastAsia" w:ascii="宋体" w:hAnsi="宋体" w:cs="宋体"/>
          <w:color w:val="000000"/>
          <w:sz w:val="28"/>
          <w:szCs w:val="28"/>
          <w:lang w:eastAsia="zh-CN"/>
        </w:rPr>
        <w:t>）</w:t>
      </w:r>
      <w:r>
        <w:rPr>
          <w:rFonts w:hint="eastAsia" w:ascii="宋体" w:hAnsi="宋体" w:cs="宋体"/>
          <w:color w:val="000000"/>
          <w:sz w:val="28"/>
          <w:szCs w:val="28"/>
        </w:rPr>
        <w:t>、</w:t>
      </w:r>
      <w:r>
        <w:rPr>
          <w:rFonts w:hint="eastAsia" w:ascii="宋体" w:hAnsi="宋体" w:cs="宋体"/>
          <w:color w:val="000000"/>
          <w:sz w:val="28"/>
          <w:szCs w:val="28"/>
          <w:lang w:eastAsia="zh-CN"/>
        </w:rPr>
        <w:t>文化艺术类（</w:t>
      </w:r>
      <w:r>
        <w:rPr>
          <w:rFonts w:hint="eastAsia" w:ascii="宋体" w:hAnsi="宋体" w:cs="宋体"/>
          <w:color w:val="000000"/>
          <w:sz w:val="28"/>
          <w:szCs w:val="28"/>
        </w:rPr>
        <w:t>民族音乐与舞蹈专业（藏羌歌舞方向）、民族美术专业（唐卡绘画方向）</w:t>
      </w:r>
      <w:r>
        <w:rPr>
          <w:rFonts w:hint="eastAsia" w:ascii="宋体" w:hAnsi="宋体" w:cs="宋体"/>
          <w:color w:val="000000"/>
          <w:sz w:val="28"/>
          <w:szCs w:val="28"/>
          <w:lang w:eastAsia="zh-CN"/>
        </w:rPr>
        <w:t>）、财经商贸类（</w:t>
      </w:r>
      <w:r>
        <w:rPr>
          <w:rFonts w:hint="eastAsia" w:ascii="宋体" w:hAnsi="宋体" w:cs="宋体"/>
          <w:color w:val="000000"/>
          <w:sz w:val="28"/>
          <w:szCs w:val="28"/>
        </w:rPr>
        <w:t>会计专业</w:t>
      </w:r>
      <w:r>
        <w:rPr>
          <w:rFonts w:hint="eastAsia" w:ascii="宋体" w:hAnsi="宋体" w:cs="宋体"/>
          <w:color w:val="000000"/>
          <w:sz w:val="28"/>
          <w:szCs w:val="28"/>
          <w:lang w:eastAsia="zh-CN"/>
        </w:rPr>
        <w:t>）</w:t>
      </w:r>
      <w:r>
        <w:rPr>
          <w:rFonts w:hint="eastAsia" w:ascii="宋体" w:hAnsi="宋体" w:cs="宋体"/>
          <w:color w:val="000000"/>
          <w:sz w:val="28"/>
          <w:szCs w:val="28"/>
        </w:rPr>
        <w:t xml:space="preserve">、 </w:t>
      </w:r>
      <w:r>
        <w:rPr>
          <w:rFonts w:hint="eastAsia" w:ascii="宋体" w:hAnsi="宋体" w:cs="宋体"/>
          <w:color w:val="000000"/>
          <w:sz w:val="28"/>
          <w:szCs w:val="28"/>
          <w:lang w:eastAsia="zh-CN"/>
        </w:rPr>
        <w:t>加工制造</w:t>
      </w:r>
      <w:r>
        <w:rPr>
          <w:rFonts w:hint="eastAsia" w:ascii="宋体" w:hAnsi="宋体" w:cs="宋体"/>
          <w:color w:val="000000"/>
          <w:sz w:val="28"/>
          <w:szCs w:val="28"/>
        </w:rPr>
        <w:t>类（机电技术应用专业</w:t>
      </w:r>
      <w:r>
        <w:rPr>
          <w:rFonts w:hint="eastAsia" w:ascii="宋体" w:hAnsi="宋体" w:cs="宋体"/>
          <w:color w:val="000000"/>
          <w:sz w:val="28"/>
          <w:szCs w:val="28"/>
          <w:lang w:eastAsia="zh-CN"/>
        </w:rPr>
        <w:t>）</w:t>
      </w:r>
      <w:r>
        <w:rPr>
          <w:rFonts w:hint="eastAsia" w:ascii="宋体" w:hAnsi="宋体" w:cs="宋体"/>
          <w:color w:val="000000"/>
          <w:sz w:val="28"/>
          <w:szCs w:val="28"/>
        </w:rPr>
        <w:t>、</w:t>
      </w:r>
      <w:r>
        <w:rPr>
          <w:rFonts w:hint="eastAsia" w:ascii="宋体" w:hAnsi="宋体" w:cs="宋体"/>
          <w:color w:val="000000"/>
          <w:sz w:val="28"/>
          <w:szCs w:val="28"/>
          <w:lang w:eastAsia="zh-CN"/>
        </w:rPr>
        <w:t>公共管理与服务类（物业管理专业）、交通运输类（</w:t>
      </w:r>
      <w:r>
        <w:rPr>
          <w:rFonts w:hint="eastAsia" w:ascii="宋体" w:hAnsi="宋体" w:cs="宋体"/>
          <w:color w:val="000000"/>
          <w:sz w:val="28"/>
          <w:szCs w:val="28"/>
        </w:rPr>
        <w:t>汽车运用与维修专业</w:t>
      </w:r>
      <w:r>
        <w:rPr>
          <w:rFonts w:hint="eastAsia" w:ascii="宋体" w:hAnsi="宋体" w:cs="宋体"/>
          <w:color w:val="000000"/>
          <w:sz w:val="28"/>
          <w:szCs w:val="28"/>
          <w:lang w:eastAsia="zh-CN"/>
        </w:rPr>
        <w:t>）</w:t>
      </w:r>
      <w:r>
        <w:rPr>
          <w:rFonts w:hint="eastAsia" w:ascii="宋体" w:hAnsi="宋体" w:cs="宋体"/>
          <w:color w:val="000000"/>
          <w:sz w:val="28"/>
          <w:szCs w:val="28"/>
        </w:rPr>
        <w:t>、</w:t>
      </w:r>
      <w:r>
        <w:rPr>
          <w:rFonts w:hint="eastAsia" w:ascii="宋体" w:hAnsi="宋体" w:cs="宋体"/>
          <w:color w:val="000000"/>
          <w:sz w:val="28"/>
          <w:szCs w:val="28"/>
          <w:lang w:eastAsia="zh-CN"/>
        </w:rPr>
        <w:t>信息技术类（</w:t>
      </w:r>
      <w:r>
        <w:rPr>
          <w:rFonts w:hint="eastAsia" w:ascii="宋体" w:hAnsi="宋体" w:cs="宋体"/>
          <w:color w:val="000000"/>
          <w:sz w:val="28"/>
          <w:szCs w:val="28"/>
        </w:rPr>
        <w:t>计算机应用专业），其中藏兽医是全国中等职业学校唯一举办的国家特色专业，畜牧兽医、藏羌艺术为省内特色优势专业；机电技术应用、畜牧兽医、藏羌艺术为省部级重点专业。学校所开专业均与阿坝州区域发展密切结合，紧跟时代步伐，紧贴产业、紧贴市场、紧贴职业。</w:t>
      </w:r>
    </w:p>
    <w:p>
      <w:pPr>
        <w:ind w:firstLine="560" w:firstLineChars="200"/>
        <w:rPr>
          <w:rFonts w:ascii="宋体" w:hAnsi="宋体" w:cs="宋体"/>
          <w:color w:val="000000"/>
          <w:sz w:val="28"/>
          <w:szCs w:val="28"/>
        </w:rPr>
      </w:pPr>
      <w:r>
        <w:rPr>
          <w:rFonts w:hint="eastAsia" w:ascii="宋体" w:hAnsi="宋体" w:cs="宋体"/>
          <w:color w:val="000000"/>
          <w:sz w:val="28"/>
          <w:szCs w:val="28"/>
        </w:rPr>
        <w:t>本年度学校结合当地经济社会发展需要新增中餐厅烹饪专业，同时大力推进“双元双向”国企定单班建设，开办了计算机应用（交通运输方向）和机电一体化四个</w:t>
      </w:r>
      <w:r>
        <w:rPr>
          <w:rFonts w:hint="eastAsia" w:ascii="宋体" w:hAnsi="宋体" w:cs="宋体"/>
          <w:color w:val="auto"/>
          <w:sz w:val="28"/>
          <w:szCs w:val="28"/>
        </w:rPr>
        <w:t>校企</w:t>
      </w:r>
      <w:r>
        <w:rPr>
          <w:rFonts w:hint="eastAsia" w:ascii="宋体" w:hAnsi="宋体" w:cs="宋体"/>
          <w:color w:val="000000"/>
          <w:sz w:val="28"/>
          <w:szCs w:val="28"/>
        </w:rPr>
        <w:t>合作定单班。</w:t>
      </w:r>
    </w:p>
    <w:p>
      <w:pPr>
        <w:jc w:val="both"/>
        <w:rPr>
          <w:rFonts w:ascii="宋体" w:hAnsi="宋体" w:cs="宋体"/>
          <w:color w:val="000000"/>
          <w:sz w:val="28"/>
          <w:szCs w:val="28"/>
        </w:rPr>
      </w:pPr>
      <w:r>
        <w:rPr>
          <w:rFonts w:hint="eastAsia" w:ascii="宋体" w:hAnsi="宋体" w:cs="宋体"/>
          <w:color w:val="000000"/>
          <w:sz w:val="28"/>
          <w:szCs w:val="28"/>
        </w:rPr>
        <w:drawing>
          <wp:inline distT="0" distB="0" distL="114300" distR="114300">
            <wp:extent cx="5678170" cy="3058160"/>
            <wp:effectExtent l="0" t="0" r="17780" b="8890"/>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jc w:val="center"/>
      </w:pPr>
      <w:r>
        <w:rPr>
          <w:rFonts w:hint="eastAsia" w:ascii="宋体" w:hAnsi="宋体" w:cs="宋体"/>
          <w:b/>
          <w:bCs/>
          <w:color w:val="000000"/>
          <w:sz w:val="28"/>
          <w:szCs w:val="28"/>
        </w:rPr>
        <w:t>图3-1 2019年学校现开设各专业在校生规模示意图</w:t>
      </w:r>
      <w:bookmarkStart w:id="54" w:name="_Toc531602783"/>
      <w:bookmarkStart w:id="55" w:name="_Toc16869"/>
      <w:bookmarkStart w:id="56" w:name="_Toc531602435"/>
      <w:bookmarkStart w:id="57" w:name="_Toc531679158"/>
    </w:p>
    <w:p>
      <w:pPr>
        <w:ind w:firstLine="560" w:firstLineChars="200"/>
        <w:rPr>
          <w:rFonts w:ascii="黑体" w:hAnsi="黑体"/>
        </w:rPr>
      </w:pPr>
      <w:r>
        <w:rPr>
          <w:rFonts w:ascii="宋体" w:hAnsi="宋体" w:cs="宋体"/>
          <w:color w:val="000000"/>
          <w:sz w:val="28"/>
          <w:szCs w:val="28"/>
        </w:rPr>
        <w:t>学校以示范校建设工作的推进与实施为抓手，以提高教学质量为目标，围绕打造特色专业的主线，在专业建设机制、人才模式改革、课程体系建设、教学模式改革、评价模式改革五个方面开展专业建设工作，努力打造专业特色，促进专业内涵发展。</w:t>
      </w:r>
    </w:p>
    <w:p>
      <w:pPr>
        <w:pStyle w:val="3"/>
        <w:spacing w:line="240" w:lineRule="auto"/>
        <w:ind w:firstLine="562"/>
        <w:rPr>
          <w:color w:val="FF0000"/>
        </w:rPr>
      </w:pPr>
      <w:r>
        <w:rPr>
          <w:rFonts w:ascii="黑体" w:hAnsi="黑体"/>
        </w:rPr>
        <w:t>3.2</w:t>
      </w:r>
      <w:r>
        <w:t>教育教学改革</w:t>
      </w:r>
      <w:bookmarkEnd w:id="54"/>
      <w:bookmarkEnd w:id="55"/>
      <w:bookmarkEnd w:id="56"/>
      <w:r>
        <w:rPr>
          <w:rFonts w:hint="eastAsia"/>
        </w:rPr>
        <w:t>：</w:t>
      </w:r>
      <w:bookmarkEnd w:id="57"/>
      <w:r>
        <w:rPr>
          <w:rFonts w:hint="eastAsia" w:ascii="宋体" w:hAnsi="宋体" w:cs="宋体"/>
          <w:szCs w:val="28"/>
        </w:rPr>
        <w:t>坚持育人为本 落实三教改革</w:t>
      </w:r>
    </w:p>
    <w:p>
      <w:pPr>
        <w:ind w:firstLine="562" w:firstLineChars="200"/>
        <w:rPr>
          <w:rFonts w:ascii="宋体" w:hAnsi="宋体" w:cs="宋体"/>
          <w:b/>
          <w:bCs/>
          <w:color w:val="000000"/>
          <w:sz w:val="28"/>
          <w:szCs w:val="28"/>
        </w:rPr>
      </w:pPr>
      <w:r>
        <w:rPr>
          <w:rFonts w:hint="eastAsia" w:ascii="宋体" w:hAnsi="宋体" w:cs="宋体"/>
          <w:b/>
          <w:bCs/>
          <w:color w:val="000000"/>
          <w:sz w:val="28"/>
          <w:szCs w:val="28"/>
        </w:rPr>
        <w:t>3.2.1修订人才培养方案</w:t>
      </w:r>
    </w:p>
    <w:p>
      <w:pPr>
        <w:ind w:firstLine="560" w:firstLineChars="200"/>
        <w:rPr>
          <w:rFonts w:ascii="宋体" w:hAnsi="宋体" w:cs="宋体"/>
          <w:color w:val="000000"/>
          <w:sz w:val="28"/>
          <w:szCs w:val="28"/>
        </w:rPr>
      </w:pPr>
      <w:r>
        <w:rPr>
          <w:rFonts w:hint="eastAsia" w:ascii="宋体" w:hAnsi="宋体" w:cs="宋体"/>
          <w:color w:val="000000"/>
          <w:sz w:val="28"/>
          <w:szCs w:val="28"/>
        </w:rPr>
        <w:t>本年度学校</w:t>
      </w:r>
      <w:r>
        <w:rPr>
          <w:rFonts w:ascii="宋体" w:hAnsi="宋体" w:cs="宋体"/>
          <w:color w:val="000000"/>
          <w:sz w:val="28"/>
          <w:szCs w:val="28"/>
        </w:rPr>
        <w:t>根据《教育部关于职业院校专业人才培养方案制订与实施工作的指导意见》（教职成〔2019〕13号）《国家职业教育改革实施方案》《中等职业学校专业教学标准》和《职业学校专业顶岗实习标准》等文件要求，结合学校实际，开展2019年各专业人才培养方案的制订工作。</w:t>
      </w:r>
    </w:p>
    <w:p>
      <w:pPr>
        <w:ind w:firstLine="560" w:firstLineChars="200"/>
        <w:rPr>
          <w:rFonts w:ascii="宋体" w:hAnsi="宋体" w:cs="宋体"/>
          <w:color w:val="000000"/>
          <w:sz w:val="28"/>
          <w:szCs w:val="28"/>
        </w:rPr>
      </w:pPr>
      <w:r>
        <w:rPr>
          <w:rFonts w:ascii="宋体" w:hAnsi="宋体" w:cs="宋体"/>
          <w:color w:val="000000"/>
          <w:sz w:val="28"/>
          <w:szCs w:val="28"/>
        </w:rPr>
        <w:t>本着坚持育人为本，促进全面发展、坚持标准引领，确保科学规范、坚持遵循规律，体现培养特色、坚持完善机制，推动持续改进的原则</w:t>
      </w:r>
      <w:r>
        <w:rPr>
          <w:rFonts w:hint="eastAsia" w:ascii="宋体" w:hAnsi="宋体" w:cs="宋体"/>
          <w:color w:val="000000"/>
          <w:sz w:val="28"/>
          <w:szCs w:val="28"/>
          <w:lang w:eastAsia="zh-CN"/>
        </w:rPr>
        <w:t>，</w:t>
      </w:r>
      <w:r>
        <w:rPr>
          <w:rFonts w:hint="eastAsia" w:ascii="宋体" w:hAnsi="宋体" w:cs="宋体"/>
          <w:color w:val="000000"/>
          <w:sz w:val="28"/>
          <w:szCs w:val="28"/>
        </w:rPr>
        <w:t>学校</w:t>
      </w:r>
      <w:r>
        <w:rPr>
          <w:rFonts w:ascii="宋体" w:hAnsi="宋体" w:cs="宋体"/>
          <w:color w:val="000000"/>
          <w:sz w:val="28"/>
          <w:szCs w:val="28"/>
        </w:rPr>
        <w:t>对现开设的畜牧兽医、高星级饭店运营与管理、中餐烹饪、机电、汽修、会计、计算机应用、民族表演艺术、民族美术（唐卡绘画）等专业进行认真调研重新修订形成了专业人才培养方案初稿</w:t>
      </w:r>
      <w:r>
        <w:rPr>
          <w:rFonts w:hint="eastAsia" w:ascii="宋体" w:hAnsi="宋体" w:cs="宋体"/>
          <w:color w:val="000000"/>
          <w:sz w:val="28"/>
          <w:szCs w:val="28"/>
        </w:rPr>
        <w:t>。</w:t>
      </w:r>
    </w:p>
    <w:p>
      <w:pPr>
        <w:ind w:firstLine="562" w:firstLineChars="200"/>
        <w:rPr>
          <w:rFonts w:ascii="宋体" w:hAnsi="宋体" w:cs="宋体"/>
          <w:b/>
          <w:bCs/>
          <w:color w:val="000000"/>
          <w:sz w:val="28"/>
          <w:szCs w:val="28"/>
        </w:rPr>
      </w:pPr>
      <w:r>
        <w:rPr>
          <w:rFonts w:hint="eastAsia" w:ascii="宋体" w:hAnsi="宋体" w:cs="宋体"/>
          <w:b/>
          <w:bCs/>
          <w:color w:val="000000"/>
          <w:sz w:val="28"/>
          <w:szCs w:val="28"/>
        </w:rPr>
        <w:t>3.2.2 深化教育教学改革</w:t>
      </w:r>
    </w:p>
    <w:p>
      <w:pPr>
        <w:ind w:firstLine="560" w:firstLineChars="200"/>
        <w:rPr>
          <w:rFonts w:ascii="宋体" w:hAnsi="宋体" w:cs="宋体"/>
          <w:color w:val="000000"/>
          <w:sz w:val="28"/>
          <w:szCs w:val="28"/>
        </w:rPr>
      </w:pPr>
      <w:r>
        <w:rPr>
          <w:rFonts w:hint="eastAsia" w:ascii="宋体" w:hAnsi="宋体" w:cs="宋体"/>
          <w:color w:val="000000"/>
          <w:sz w:val="28"/>
          <w:szCs w:val="28"/>
        </w:rPr>
        <w:t>学校转变教育观念，明确工作思路，将职业教育定位于技能教育和“饭碗打造工程”，坚持以市场需求为导向，以学生技能培训为根本，以学生就业为目标，切实向培养“懂技术、会操作的实用型、能工巧匠型人才”转变，强化技能训练，重视实践操作，培养合格的实用型、技能型人才，通过大力推行“产教结合、工学交替”，以 “订单式”培养</w:t>
      </w:r>
      <w:r>
        <w:rPr>
          <w:rFonts w:hint="eastAsia" w:ascii="宋体" w:hAnsi="宋体" w:cs="宋体"/>
          <w:color w:val="000000"/>
          <w:sz w:val="28"/>
          <w:szCs w:val="28"/>
          <w:lang w:eastAsia="zh-CN"/>
        </w:rPr>
        <w:t>、</w:t>
      </w:r>
      <w:r>
        <w:rPr>
          <w:rFonts w:hint="eastAsia" w:ascii="宋体" w:hAnsi="宋体" w:cs="宋体"/>
          <w:color w:val="000000"/>
          <w:sz w:val="28"/>
          <w:szCs w:val="28"/>
        </w:rPr>
        <w:t>“菜单式”教育为主要教学模式，以“任务式教学法”“项岗实习”为主要教学手段，让教室与车间合一，作业与产品合一，生产与教学合一，实现理论与实践教学的紧密结合，突出技术应用能力的培养，对职业教育采取弹性学制、学分制管理模式，实行“订单式”培养，“任务式”“菜单式”教育。</w:t>
      </w:r>
    </w:p>
    <w:p>
      <w:pPr>
        <w:ind w:firstLine="562" w:firstLineChars="200"/>
        <w:rPr>
          <w:rFonts w:ascii="宋体" w:hAnsi="宋体" w:cs="宋体"/>
          <w:b/>
          <w:bCs/>
          <w:sz w:val="28"/>
          <w:szCs w:val="28"/>
        </w:rPr>
      </w:pPr>
      <w:bookmarkStart w:id="58" w:name="_Toc16725"/>
      <w:bookmarkStart w:id="59" w:name="_Toc531602785"/>
      <w:bookmarkStart w:id="60" w:name="_Toc531602437"/>
      <w:bookmarkStart w:id="61" w:name="_Toc531679160"/>
      <w:r>
        <w:rPr>
          <w:rFonts w:hint="eastAsia" w:ascii="宋体" w:hAnsi="宋体" w:cs="宋体"/>
          <w:b/>
          <w:bCs/>
          <w:sz w:val="28"/>
          <w:szCs w:val="28"/>
        </w:rPr>
        <w:t>3.2.3 强化教学质量监督</w:t>
      </w:r>
    </w:p>
    <w:p>
      <w:pPr>
        <w:ind w:firstLine="560" w:firstLineChars="200"/>
        <w:rPr>
          <w:rFonts w:ascii="宋体" w:hAnsi="宋体" w:cs="宋体"/>
          <w:sz w:val="28"/>
          <w:szCs w:val="28"/>
        </w:rPr>
      </w:pPr>
      <w:r>
        <w:rPr>
          <w:rFonts w:hint="eastAsia" w:ascii="宋体" w:hAnsi="宋体" w:cs="宋体"/>
          <w:sz w:val="28"/>
          <w:szCs w:val="28"/>
        </w:rPr>
        <w:t>学校以省级示范校建设为抓手，成立了由行业、企业、专家及家长等多方参与的学校质量管理监控领导小组，制定《学校质量管理监控领导小组工作职责》，搭建由目标与标准、检查与评估、信息与采集、调控与反馈四个子系统构成的质量管理体系。</w:t>
      </w:r>
    </w:p>
    <w:p>
      <w:pPr>
        <w:ind w:firstLine="560" w:firstLineChars="200"/>
        <w:rPr>
          <w:rFonts w:ascii="宋体" w:hAnsi="宋体" w:cs="宋体"/>
          <w:sz w:val="28"/>
          <w:szCs w:val="28"/>
        </w:rPr>
      </w:pPr>
      <w:r>
        <w:rPr>
          <w:rFonts w:hint="eastAsia" w:ascii="宋体" w:hAnsi="宋体" w:cs="宋体"/>
          <w:sz w:val="28"/>
          <w:szCs w:val="28"/>
        </w:rPr>
        <w:t>在监控过程中实行质量管理监控督导组常规巡查，对学校进行全方位巡查，及时发现问题，及时整改。每学期召开学生座谈会、学生评教活动将质量监控落到实处。</w:t>
      </w:r>
    </w:p>
    <w:p>
      <w:pPr>
        <w:ind w:firstLine="560" w:firstLineChars="200"/>
        <w:rPr>
          <w:rFonts w:ascii="宋体" w:hAnsi="宋体" w:cs="宋体"/>
          <w:sz w:val="28"/>
          <w:szCs w:val="28"/>
        </w:rPr>
      </w:pPr>
      <w:r>
        <w:rPr>
          <w:rFonts w:hint="eastAsia" w:ascii="宋体" w:hAnsi="宋体" w:cs="宋体"/>
          <w:sz w:val="28"/>
          <w:szCs w:val="28"/>
        </w:rPr>
        <w:t>学校坚持教学常规管理常抓不懈，以教育部关于专业建设相关文件为指导，以省级示范校建设为抓手，重新修订、完善实施性教学计划、专业教学标准汇编、授课计划，通过“巡、查、听、评、选”等手段加强教学管理和督导，及时总结、推广教学工作成果及存在问题。每学期开展学生技能竞赛等活动，提升学生学习效果，选用国家规划教材，与企业合作编写贴近岗位需求的校本教材和实训指导书。教师工作量记载详实，考核严格，育人效果显著。</w:t>
      </w:r>
    </w:p>
    <w:p>
      <w:pPr>
        <w:ind w:firstLine="562" w:firstLineChars="200"/>
        <w:rPr>
          <w:rFonts w:ascii="宋体" w:hAnsi="宋体" w:cs="宋体"/>
          <w:b/>
          <w:bCs/>
          <w:color w:val="FF0000"/>
          <w:sz w:val="28"/>
          <w:szCs w:val="28"/>
        </w:rPr>
      </w:pPr>
      <w:r>
        <w:rPr>
          <w:rFonts w:hint="eastAsia" w:ascii="宋体" w:hAnsi="宋体" w:cs="宋体"/>
          <w:b/>
          <w:bCs/>
          <w:sz w:val="28"/>
          <w:szCs w:val="28"/>
        </w:rPr>
        <w:t xml:space="preserve">3.2.4 </w:t>
      </w:r>
      <w:r>
        <w:rPr>
          <w:rFonts w:hint="eastAsia" w:ascii="宋体" w:hAnsi="宋体" w:cs="宋体"/>
          <w:b/>
          <w:bCs/>
          <w:color w:val="auto"/>
          <w:sz w:val="28"/>
          <w:szCs w:val="28"/>
        </w:rPr>
        <w:t>教学科研</w:t>
      </w:r>
    </w:p>
    <w:p>
      <w:pPr>
        <w:ind w:firstLine="560" w:firstLineChars="200"/>
        <w:jc w:val="left"/>
        <w:rPr>
          <w:rFonts w:ascii="宋体" w:hAnsi="宋体" w:cs="宋体"/>
          <w:sz w:val="28"/>
          <w:szCs w:val="28"/>
        </w:rPr>
      </w:pPr>
      <w:r>
        <w:rPr>
          <w:rFonts w:ascii="宋体" w:hAnsi="宋体" w:cs="宋体"/>
          <w:sz w:val="28"/>
          <w:szCs w:val="28"/>
        </w:rPr>
        <w:t>学校对教学科研工作十分重视，</w:t>
      </w:r>
      <w:r>
        <w:rPr>
          <w:rFonts w:hint="eastAsia" w:ascii="宋体" w:hAnsi="宋体" w:cs="宋体"/>
          <w:sz w:val="28"/>
          <w:szCs w:val="28"/>
        </w:rPr>
        <w:t>近年来在</w:t>
      </w:r>
      <w:r>
        <w:rPr>
          <w:rFonts w:ascii="宋体" w:hAnsi="宋体" w:cs="宋体"/>
          <w:sz w:val="28"/>
          <w:szCs w:val="28"/>
        </w:rPr>
        <w:t>教学教研</w:t>
      </w:r>
      <w:r>
        <w:rPr>
          <w:rFonts w:hint="eastAsia" w:ascii="宋体" w:hAnsi="宋体" w:cs="宋体"/>
          <w:sz w:val="28"/>
          <w:szCs w:val="28"/>
        </w:rPr>
        <w:t>方面取得</w:t>
      </w:r>
      <w:r>
        <w:rPr>
          <w:rFonts w:hint="eastAsia" w:ascii="宋体" w:hAnsi="宋体" w:cs="宋体"/>
          <w:color w:val="auto"/>
          <w:sz w:val="28"/>
          <w:szCs w:val="28"/>
        </w:rPr>
        <w:t>一定成绩</w:t>
      </w:r>
      <w:r>
        <w:rPr>
          <w:rFonts w:hint="eastAsia" w:ascii="宋体" w:hAnsi="宋体" w:cs="宋体"/>
          <w:sz w:val="28"/>
          <w:szCs w:val="28"/>
        </w:rPr>
        <w:t>，</w:t>
      </w:r>
      <w:r>
        <w:rPr>
          <w:rFonts w:ascii="宋体" w:hAnsi="宋体" w:cs="宋体"/>
          <w:sz w:val="28"/>
          <w:szCs w:val="28"/>
        </w:rPr>
        <w:t>先后获得国家、地级科研项目立项7项，其中国家级研究项目（子项目）1项，地级研究项目6项，获得各项专项研究资金60余万元</w:t>
      </w:r>
      <w:r>
        <w:rPr>
          <w:rFonts w:hint="eastAsia" w:ascii="宋体" w:hAnsi="宋体" w:cs="宋体"/>
          <w:sz w:val="28"/>
          <w:szCs w:val="28"/>
        </w:rPr>
        <w:t>，</w:t>
      </w:r>
      <w:r>
        <w:rPr>
          <w:rFonts w:ascii="宋体" w:hAnsi="宋体" w:cs="宋体"/>
          <w:sz w:val="28"/>
          <w:szCs w:val="28"/>
        </w:rPr>
        <w:t>现已结题4项，正在实施3项。</w:t>
      </w:r>
    </w:p>
    <w:p>
      <w:pPr>
        <w:ind w:firstLine="560" w:firstLineChars="200"/>
        <w:jc w:val="left"/>
        <w:rPr>
          <w:rFonts w:ascii="宋体" w:hAnsi="宋体" w:cs="宋体"/>
          <w:sz w:val="28"/>
          <w:szCs w:val="28"/>
        </w:rPr>
      </w:pPr>
      <w:r>
        <w:rPr>
          <w:rFonts w:hint="eastAsia" w:ascii="宋体" w:hAnsi="宋体" w:cs="宋体"/>
          <w:sz w:val="28"/>
          <w:szCs w:val="28"/>
        </w:rPr>
        <w:t>本年度</w:t>
      </w:r>
      <w:r>
        <w:rPr>
          <w:rFonts w:ascii="宋体" w:hAnsi="宋体" w:cs="宋体"/>
          <w:sz w:val="28"/>
          <w:szCs w:val="28"/>
        </w:rPr>
        <w:t>学校积极探索校企深度融合“企中校”实践，成立了由学校领导、校办公室、教科室、招就处、学生处、教务处、总务处、合作企业（棠湖宾馆、成都鸡毛店餐饮公司、九寨沟神仙池景区）和省级知名教学科研机构组成的科研团队，预算专项经费，开展了前期调研和方案策划等工作</w:t>
      </w:r>
      <w:r>
        <w:rPr>
          <w:rFonts w:hint="eastAsia" w:ascii="宋体" w:hAnsi="宋体" w:cs="宋体"/>
          <w:sz w:val="28"/>
          <w:szCs w:val="28"/>
        </w:rPr>
        <w:t>；同时</w:t>
      </w:r>
      <w:r>
        <w:rPr>
          <w:rFonts w:ascii="宋体" w:hAnsi="宋体" w:cs="宋体"/>
          <w:sz w:val="28"/>
          <w:szCs w:val="28"/>
        </w:rPr>
        <w:t>按示范校建设工作任务和要求，成立了由行业（企业）专家、高校知名教授和学校领导、教学管理人员、学科代头人、骨干教师及毕业生代表组成的农牧专业建设指导委员会</w:t>
      </w:r>
      <w:r>
        <w:rPr>
          <w:rFonts w:hint="eastAsia" w:ascii="宋体" w:hAnsi="宋体" w:cs="宋体"/>
          <w:sz w:val="28"/>
          <w:szCs w:val="28"/>
        </w:rPr>
        <w:t>，</w:t>
      </w:r>
      <w:r>
        <w:rPr>
          <w:rFonts w:ascii="宋体" w:hAnsi="宋体" w:cs="宋体"/>
          <w:sz w:val="28"/>
          <w:szCs w:val="28"/>
        </w:rPr>
        <w:t>开展了畜牧兽医专业人才培养方案的论证工作。</w:t>
      </w:r>
    </w:p>
    <w:p>
      <w:pPr>
        <w:pStyle w:val="3"/>
        <w:ind w:firstLine="562"/>
      </w:pPr>
      <w:r>
        <w:rPr>
          <w:rFonts w:ascii="黑体" w:hAnsi="黑体"/>
        </w:rPr>
        <w:t>3.</w:t>
      </w:r>
      <w:r>
        <w:rPr>
          <w:rFonts w:hint="eastAsia" w:ascii="黑体" w:hAnsi="黑体"/>
        </w:rPr>
        <w:t>3</w:t>
      </w:r>
      <w:r>
        <w:rPr>
          <w:rFonts w:ascii="黑体" w:hAnsi="黑体"/>
        </w:rPr>
        <w:t xml:space="preserve"> </w:t>
      </w:r>
      <w:r>
        <w:t>教师培养培训</w:t>
      </w:r>
      <w:bookmarkEnd w:id="58"/>
      <w:r>
        <w:rPr>
          <w:rFonts w:hint="eastAsia"/>
        </w:rPr>
        <w:t>：</w:t>
      </w:r>
      <w:bookmarkEnd w:id="59"/>
      <w:bookmarkEnd w:id="60"/>
      <w:bookmarkEnd w:id="61"/>
      <w:r>
        <w:rPr>
          <w:rFonts w:hint="eastAsia"/>
        </w:rPr>
        <w:t>注重教师培养 整体实力提升</w:t>
      </w:r>
    </w:p>
    <w:p>
      <w:pPr>
        <w:ind w:firstLine="560" w:firstLineChars="200"/>
        <w:rPr>
          <w:rFonts w:ascii="宋体" w:hAnsi="宋体" w:cs="宋体"/>
          <w:sz w:val="28"/>
          <w:szCs w:val="28"/>
        </w:rPr>
      </w:pPr>
      <w:r>
        <w:rPr>
          <w:rFonts w:hint="eastAsia" w:ascii="宋体" w:hAnsi="宋体" w:cs="宋体"/>
          <w:color w:val="000000"/>
          <w:sz w:val="28"/>
          <w:szCs w:val="28"/>
        </w:rPr>
        <w:t>学校注重教师培养，成立了由校长带队的教师培养领导小组，成员由办公室、教务处及各专业部负责人组成。出台了学科带头人、骨干教师、双师型教师、青年教师培养实施办法，教师进修管理办法，鼓励教师参加各种形式的实践技能提升培训，每年预算中均列入教师培养培训专项资金。本年度围绕教师培养培训开展了以下工作：</w:t>
      </w:r>
    </w:p>
    <w:p>
      <w:pPr>
        <w:ind w:firstLine="560" w:firstLineChars="200"/>
        <w:rPr>
          <w:rFonts w:ascii="宋体" w:hAnsi="宋体" w:cs="宋体"/>
          <w:sz w:val="28"/>
          <w:szCs w:val="28"/>
        </w:rPr>
      </w:pPr>
      <w:r>
        <w:rPr>
          <w:rFonts w:hint="eastAsia" w:ascii="宋体" w:hAnsi="宋体" w:cs="宋体"/>
          <w:sz w:val="28"/>
          <w:szCs w:val="28"/>
        </w:rPr>
        <w:t>一是积极组织教师参加职业院校教师素质提升计划国家级和省级培训，逐步提高学科带头人、骨干教师和青年教师的综合素质，本年度组织了8位骨干教师参加了国培、省培。</w:t>
      </w:r>
    </w:p>
    <w:p>
      <w:pPr>
        <w:ind w:firstLine="560" w:firstLineChars="200"/>
        <w:rPr>
          <w:rFonts w:ascii="宋体" w:hAnsi="宋体" w:cs="宋体"/>
          <w:sz w:val="28"/>
          <w:szCs w:val="28"/>
        </w:rPr>
      </w:pPr>
      <w:r>
        <w:rPr>
          <w:rFonts w:hint="eastAsia" w:ascii="宋体" w:hAnsi="宋体" w:cs="宋体"/>
          <w:sz w:val="28"/>
          <w:szCs w:val="28"/>
        </w:rPr>
        <w:t>二是组织教师参加信息化应用能力专项提升培训和新入职青年教师教育教学基本规程培训。本年度组织了3位教师参加中西部教师信息化应用能力提升培训；51教师参加校本信息化应用能力提升培训；23位教师参加新入职青年教师教育教学基本规程培训。</w:t>
      </w:r>
    </w:p>
    <w:p>
      <w:pPr>
        <w:ind w:firstLine="560" w:firstLineChars="200"/>
        <w:rPr>
          <w:rFonts w:ascii="宋体" w:hAnsi="宋体" w:cs="宋体"/>
          <w:sz w:val="28"/>
          <w:szCs w:val="28"/>
        </w:rPr>
      </w:pPr>
      <w:r>
        <w:rPr>
          <w:rFonts w:hint="eastAsia" w:ascii="宋体" w:hAnsi="宋体" w:cs="宋体"/>
          <w:sz w:val="28"/>
          <w:szCs w:val="28"/>
        </w:rPr>
        <w:t>三是积极开展师徒结对工作。实施《青年教师素质提升计划》，对新入职的青年教师实行“青年教师导师制”。学校根据青年教师的具体情况，从师德培养、教育教学管理、教学能力提升等方面全面安排学校领导、中层干部和教学经验丰富的骨干教师为导师开展指导和督促，起好示范和引领的作用。自活动启动以来，第一期已有9对“师徒”开展结对活动。</w:t>
      </w:r>
    </w:p>
    <w:p>
      <w:pPr>
        <w:ind w:firstLine="560" w:firstLineChars="200"/>
        <w:rPr>
          <w:rFonts w:ascii="宋体" w:hAnsi="宋体" w:cs="宋体"/>
          <w:sz w:val="28"/>
          <w:szCs w:val="28"/>
        </w:rPr>
      </w:pPr>
      <w:r>
        <w:rPr>
          <w:rFonts w:hint="eastAsia" w:ascii="宋体" w:hAnsi="宋体" w:cs="宋体"/>
          <w:sz w:val="28"/>
          <w:szCs w:val="28"/>
        </w:rPr>
        <w:t>四是通过校本培训和专项培训等形式开展师风师德教育。①开展“六心”讲堂教育，学校领导带头在全校师生中开展专题讲座；②针对新入职教师由分管校长开展专题讲座，强化师风师德的养成；③注重班主任队伍培养培训，打造一支高素质的德育队伍，2019年暑假共组织了11位班主任老师赴西昌参加国企订单班班主任专项培训。</w:t>
      </w:r>
    </w:p>
    <w:p>
      <w:pPr>
        <w:ind w:firstLine="560" w:firstLineChars="200"/>
        <w:rPr>
          <w:rFonts w:ascii="宋体" w:hAnsi="宋体" w:cs="宋体"/>
          <w:sz w:val="28"/>
          <w:szCs w:val="28"/>
        </w:rPr>
      </w:pPr>
      <w:r>
        <w:rPr>
          <w:rFonts w:hint="eastAsia" w:ascii="宋体" w:hAnsi="宋体" w:cs="宋体"/>
          <w:sz w:val="28"/>
          <w:szCs w:val="28"/>
        </w:rPr>
        <w:t>五是通过举办职业教学活动周和教师技能大赛等活动，展示和提升教师教育教学理念和实践操作能力。本年度学校举行了青年教师优质课竞赛；每学期开展公开课、示范课、优质课竞赛等教学教研活动，锻炼教师成长。</w:t>
      </w:r>
    </w:p>
    <w:p>
      <w:pPr>
        <w:jc w:val="center"/>
        <w:rPr>
          <w:rFonts w:ascii="宋体" w:hAnsi="宋体" w:cs="宋体"/>
          <w:b/>
          <w:bCs/>
          <w:sz w:val="28"/>
          <w:szCs w:val="28"/>
        </w:rPr>
      </w:pPr>
      <w:r>
        <w:rPr>
          <w:rFonts w:hint="eastAsia" w:ascii="宋体" w:hAnsi="宋体" w:cs="宋体"/>
          <w:b/>
          <w:bCs/>
          <w:sz w:val="28"/>
          <w:szCs w:val="28"/>
        </w:rPr>
        <w:t>表3-1 2018-2019年教师培训培养数据统计</w:t>
      </w:r>
    </w:p>
    <w:tbl>
      <w:tblPr>
        <w:tblStyle w:val="11"/>
        <w:tblW w:w="8460" w:type="dxa"/>
        <w:jc w:val="center"/>
        <w:tblLayout w:type="fixed"/>
        <w:tblCellMar>
          <w:top w:w="0" w:type="dxa"/>
          <w:left w:w="0" w:type="dxa"/>
          <w:bottom w:w="0" w:type="dxa"/>
          <w:right w:w="0" w:type="dxa"/>
        </w:tblCellMar>
      </w:tblPr>
      <w:tblGrid>
        <w:gridCol w:w="1155"/>
        <w:gridCol w:w="3618"/>
        <w:gridCol w:w="1716"/>
        <w:gridCol w:w="1971"/>
      </w:tblGrid>
      <w:tr>
        <w:tblPrEx>
          <w:tblCellMar>
            <w:top w:w="0" w:type="dxa"/>
            <w:left w:w="0" w:type="dxa"/>
            <w:bottom w:w="0" w:type="dxa"/>
            <w:right w:w="0" w:type="dxa"/>
          </w:tblCellMar>
        </w:tblPrEx>
        <w:trPr>
          <w:trHeight w:val="454" w:hRule="exact"/>
          <w:jc w:val="center"/>
        </w:trPr>
        <w:tc>
          <w:tcPr>
            <w:tcW w:w="1155" w:type="dxa"/>
            <w:tcBorders>
              <w:top w:val="single" w:color="auto" w:sz="4" w:space="0"/>
              <w:left w:val="single" w:color="auto" w:sz="4" w:space="0"/>
              <w:bottom w:val="single" w:color="auto" w:sz="4" w:space="0"/>
              <w:right w:val="single" w:color="auto" w:sz="4" w:space="0"/>
            </w:tcBorders>
            <w:shd w:val="clear" w:color="auto" w:fill="4F81BD" w:themeFill="accent1"/>
            <w:tcMar>
              <w:top w:w="15" w:type="dxa"/>
              <w:left w:w="15" w:type="dxa"/>
              <w:right w:w="15" w:type="dxa"/>
            </w:tcMar>
            <w:vAlign w:val="center"/>
          </w:tcPr>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序号</w:t>
            </w:r>
          </w:p>
        </w:tc>
        <w:tc>
          <w:tcPr>
            <w:tcW w:w="3618" w:type="dxa"/>
            <w:tcBorders>
              <w:top w:val="single" w:color="auto" w:sz="4" w:space="0"/>
              <w:left w:val="single" w:color="auto" w:sz="4" w:space="0"/>
              <w:bottom w:val="single" w:color="auto" w:sz="4" w:space="0"/>
              <w:right w:val="single" w:color="auto" w:sz="4" w:space="0"/>
            </w:tcBorders>
            <w:shd w:val="clear" w:color="auto" w:fill="4F81BD" w:themeFill="accent1"/>
            <w:tcMar>
              <w:top w:w="15" w:type="dxa"/>
              <w:left w:w="15" w:type="dxa"/>
              <w:right w:w="15" w:type="dxa"/>
            </w:tcMar>
            <w:vAlign w:val="center"/>
          </w:tcPr>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指标</w:t>
            </w:r>
          </w:p>
        </w:tc>
        <w:tc>
          <w:tcPr>
            <w:tcW w:w="1716" w:type="dxa"/>
            <w:tcBorders>
              <w:top w:val="single" w:color="auto" w:sz="4" w:space="0"/>
              <w:left w:val="single" w:color="auto" w:sz="4" w:space="0"/>
              <w:bottom w:val="single" w:color="auto" w:sz="4" w:space="0"/>
              <w:right w:val="single" w:color="auto" w:sz="4" w:space="0"/>
            </w:tcBorders>
            <w:shd w:val="clear" w:color="auto" w:fill="4F81BD" w:themeFill="accent1"/>
            <w:tcMar>
              <w:top w:w="15" w:type="dxa"/>
              <w:left w:w="15" w:type="dxa"/>
              <w:right w:w="15" w:type="dxa"/>
            </w:tcMar>
            <w:vAlign w:val="center"/>
          </w:tcPr>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2018年</w:t>
            </w:r>
          </w:p>
        </w:tc>
        <w:tc>
          <w:tcPr>
            <w:tcW w:w="1971" w:type="dxa"/>
            <w:tcBorders>
              <w:top w:val="single" w:color="auto" w:sz="4" w:space="0"/>
              <w:left w:val="single" w:color="auto" w:sz="4" w:space="0"/>
              <w:bottom w:val="single" w:color="auto" w:sz="4" w:space="0"/>
              <w:right w:val="single" w:color="auto" w:sz="4" w:space="0"/>
            </w:tcBorders>
            <w:shd w:val="clear" w:color="auto" w:fill="4F81BD" w:themeFill="accent1"/>
            <w:tcMar>
              <w:top w:w="15" w:type="dxa"/>
              <w:left w:w="15" w:type="dxa"/>
              <w:right w:w="15" w:type="dxa"/>
            </w:tcMar>
            <w:vAlign w:val="center"/>
          </w:tcPr>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2019年</w:t>
            </w:r>
          </w:p>
        </w:tc>
      </w:tr>
      <w:tr>
        <w:tblPrEx>
          <w:tblCellMar>
            <w:top w:w="0" w:type="dxa"/>
            <w:left w:w="0" w:type="dxa"/>
            <w:bottom w:w="0" w:type="dxa"/>
            <w:right w:w="0" w:type="dxa"/>
          </w:tblCellMar>
        </w:tblPrEx>
        <w:trPr>
          <w:trHeight w:val="454" w:hRule="exact"/>
          <w:jc w:val="center"/>
        </w:trPr>
        <w:tc>
          <w:tcPr>
            <w:tcW w:w="11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hint="eastAsia" w:ascii="宋体" w:hAnsi="宋体" w:cs="宋体"/>
                <w:sz w:val="24"/>
              </w:rPr>
              <w:t>1</w:t>
            </w:r>
          </w:p>
        </w:tc>
        <w:tc>
          <w:tcPr>
            <w:tcW w:w="36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区县级培训专任教师数</w:t>
            </w:r>
          </w:p>
        </w:tc>
        <w:tc>
          <w:tcPr>
            <w:tcW w:w="171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96</w:t>
            </w:r>
          </w:p>
        </w:tc>
        <w:tc>
          <w:tcPr>
            <w:tcW w:w="19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53</w:t>
            </w:r>
          </w:p>
        </w:tc>
      </w:tr>
      <w:tr>
        <w:tblPrEx>
          <w:tblCellMar>
            <w:top w:w="0" w:type="dxa"/>
            <w:left w:w="0" w:type="dxa"/>
            <w:bottom w:w="0" w:type="dxa"/>
            <w:right w:w="0" w:type="dxa"/>
          </w:tblCellMar>
        </w:tblPrEx>
        <w:trPr>
          <w:trHeight w:val="454" w:hRule="exact"/>
          <w:jc w:val="center"/>
        </w:trPr>
        <w:tc>
          <w:tcPr>
            <w:tcW w:w="11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hint="eastAsia" w:ascii="宋体" w:hAnsi="宋体" w:cs="宋体"/>
                <w:sz w:val="24"/>
              </w:rPr>
              <w:t>2</w:t>
            </w:r>
          </w:p>
        </w:tc>
        <w:tc>
          <w:tcPr>
            <w:tcW w:w="36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区县级培训人均课时数</w:t>
            </w:r>
          </w:p>
        </w:tc>
        <w:tc>
          <w:tcPr>
            <w:tcW w:w="171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20</w:t>
            </w:r>
          </w:p>
        </w:tc>
        <w:tc>
          <w:tcPr>
            <w:tcW w:w="19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20</w:t>
            </w:r>
          </w:p>
        </w:tc>
      </w:tr>
      <w:tr>
        <w:tblPrEx>
          <w:tblCellMar>
            <w:top w:w="0" w:type="dxa"/>
            <w:left w:w="0" w:type="dxa"/>
            <w:bottom w:w="0" w:type="dxa"/>
            <w:right w:w="0" w:type="dxa"/>
          </w:tblCellMar>
        </w:tblPrEx>
        <w:trPr>
          <w:trHeight w:val="454" w:hRule="exact"/>
          <w:jc w:val="center"/>
        </w:trPr>
        <w:tc>
          <w:tcPr>
            <w:tcW w:w="11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hint="eastAsia" w:ascii="宋体" w:hAnsi="宋体" w:cs="宋体"/>
                <w:sz w:val="24"/>
              </w:rPr>
              <w:t>3</w:t>
            </w:r>
          </w:p>
        </w:tc>
        <w:tc>
          <w:tcPr>
            <w:tcW w:w="36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市级培训专任教师数</w:t>
            </w:r>
          </w:p>
        </w:tc>
        <w:tc>
          <w:tcPr>
            <w:tcW w:w="171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0</w:t>
            </w:r>
          </w:p>
        </w:tc>
        <w:tc>
          <w:tcPr>
            <w:tcW w:w="19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7</w:t>
            </w:r>
          </w:p>
        </w:tc>
      </w:tr>
      <w:tr>
        <w:tblPrEx>
          <w:tblCellMar>
            <w:top w:w="0" w:type="dxa"/>
            <w:left w:w="0" w:type="dxa"/>
            <w:bottom w:w="0" w:type="dxa"/>
            <w:right w:w="0" w:type="dxa"/>
          </w:tblCellMar>
        </w:tblPrEx>
        <w:trPr>
          <w:trHeight w:val="454" w:hRule="exact"/>
          <w:jc w:val="center"/>
        </w:trPr>
        <w:tc>
          <w:tcPr>
            <w:tcW w:w="11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hint="eastAsia" w:ascii="宋体" w:hAnsi="宋体" w:cs="宋体"/>
                <w:sz w:val="24"/>
              </w:rPr>
              <w:t>4</w:t>
            </w:r>
          </w:p>
        </w:tc>
        <w:tc>
          <w:tcPr>
            <w:tcW w:w="36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市级培训人均课时数</w:t>
            </w:r>
          </w:p>
        </w:tc>
        <w:tc>
          <w:tcPr>
            <w:tcW w:w="171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0</w:t>
            </w:r>
          </w:p>
        </w:tc>
        <w:tc>
          <w:tcPr>
            <w:tcW w:w="19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36</w:t>
            </w:r>
          </w:p>
        </w:tc>
      </w:tr>
      <w:tr>
        <w:tblPrEx>
          <w:tblCellMar>
            <w:top w:w="0" w:type="dxa"/>
            <w:left w:w="0" w:type="dxa"/>
            <w:bottom w:w="0" w:type="dxa"/>
            <w:right w:w="0" w:type="dxa"/>
          </w:tblCellMar>
        </w:tblPrEx>
        <w:trPr>
          <w:trHeight w:val="454" w:hRule="exact"/>
          <w:jc w:val="center"/>
        </w:trPr>
        <w:tc>
          <w:tcPr>
            <w:tcW w:w="11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hint="eastAsia" w:ascii="宋体" w:hAnsi="宋体" w:cs="宋体"/>
                <w:sz w:val="24"/>
              </w:rPr>
              <w:t>5</w:t>
            </w:r>
          </w:p>
        </w:tc>
        <w:tc>
          <w:tcPr>
            <w:tcW w:w="36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省级培训专任教师数</w:t>
            </w:r>
          </w:p>
        </w:tc>
        <w:tc>
          <w:tcPr>
            <w:tcW w:w="171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17</w:t>
            </w:r>
          </w:p>
        </w:tc>
        <w:tc>
          <w:tcPr>
            <w:tcW w:w="19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7</w:t>
            </w:r>
          </w:p>
        </w:tc>
      </w:tr>
      <w:tr>
        <w:tblPrEx>
          <w:tblCellMar>
            <w:top w:w="0" w:type="dxa"/>
            <w:left w:w="0" w:type="dxa"/>
            <w:bottom w:w="0" w:type="dxa"/>
            <w:right w:w="0" w:type="dxa"/>
          </w:tblCellMar>
        </w:tblPrEx>
        <w:trPr>
          <w:trHeight w:val="454" w:hRule="exact"/>
          <w:jc w:val="center"/>
        </w:trPr>
        <w:tc>
          <w:tcPr>
            <w:tcW w:w="11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hint="eastAsia" w:ascii="宋体" w:hAnsi="宋体" w:cs="宋体"/>
                <w:sz w:val="24"/>
              </w:rPr>
              <w:t>6</w:t>
            </w:r>
          </w:p>
        </w:tc>
        <w:tc>
          <w:tcPr>
            <w:tcW w:w="36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省级培训人均课时数</w:t>
            </w:r>
          </w:p>
        </w:tc>
        <w:tc>
          <w:tcPr>
            <w:tcW w:w="171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36</w:t>
            </w:r>
          </w:p>
        </w:tc>
        <w:tc>
          <w:tcPr>
            <w:tcW w:w="19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80</w:t>
            </w:r>
          </w:p>
        </w:tc>
      </w:tr>
      <w:tr>
        <w:tblPrEx>
          <w:tblCellMar>
            <w:top w:w="0" w:type="dxa"/>
            <w:left w:w="0" w:type="dxa"/>
            <w:bottom w:w="0" w:type="dxa"/>
            <w:right w:w="0" w:type="dxa"/>
          </w:tblCellMar>
        </w:tblPrEx>
        <w:trPr>
          <w:trHeight w:val="454" w:hRule="exact"/>
          <w:jc w:val="center"/>
        </w:trPr>
        <w:tc>
          <w:tcPr>
            <w:tcW w:w="11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hint="eastAsia" w:ascii="宋体" w:hAnsi="宋体" w:cs="宋体"/>
                <w:sz w:val="24"/>
              </w:rPr>
              <w:t>7</w:t>
            </w:r>
          </w:p>
        </w:tc>
        <w:tc>
          <w:tcPr>
            <w:tcW w:w="36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国家级培训专任教师数</w:t>
            </w:r>
          </w:p>
        </w:tc>
        <w:tc>
          <w:tcPr>
            <w:tcW w:w="171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2</w:t>
            </w:r>
          </w:p>
        </w:tc>
        <w:tc>
          <w:tcPr>
            <w:tcW w:w="19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8</w:t>
            </w:r>
          </w:p>
        </w:tc>
      </w:tr>
      <w:tr>
        <w:tblPrEx>
          <w:tblCellMar>
            <w:top w:w="0" w:type="dxa"/>
            <w:left w:w="0" w:type="dxa"/>
            <w:bottom w:w="0" w:type="dxa"/>
            <w:right w:w="0" w:type="dxa"/>
          </w:tblCellMar>
        </w:tblPrEx>
        <w:trPr>
          <w:trHeight w:val="454" w:hRule="exact"/>
          <w:jc w:val="center"/>
        </w:trPr>
        <w:tc>
          <w:tcPr>
            <w:tcW w:w="11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hint="eastAsia" w:ascii="宋体" w:hAnsi="宋体" w:cs="宋体"/>
                <w:sz w:val="24"/>
              </w:rPr>
              <w:t>8</w:t>
            </w:r>
          </w:p>
        </w:tc>
        <w:tc>
          <w:tcPr>
            <w:tcW w:w="36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国家级培训人均课时数</w:t>
            </w:r>
          </w:p>
        </w:tc>
        <w:tc>
          <w:tcPr>
            <w:tcW w:w="171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240</w:t>
            </w:r>
          </w:p>
        </w:tc>
        <w:tc>
          <w:tcPr>
            <w:tcW w:w="19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宋体" w:hAnsi="宋体" w:cs="宋体"/>
                <w:sz w:val="24"/>
              </w:rPr>
            </w:pPr>
            <w:r>
              <w:rPr>
                <w:rFonts w:ascii="宋体" w:hAnsi="宋体" w:cs="宋体"/>
                <w:sz w:val="24"/>
              </w:rPr>
              <w:t>60</w:t>
            </w:r>
          </w:p>
        </w:tc>
      </w:tr>
    </w:tbl>
    <w:p/>
    <w:p>
      <w:pPr>
        <w:ind w:firstLine="560" w:firstLineChars="200"/>
        <w:jc w:val="left"/>
        <w:rPr>
          <w:rFonts w:ascii="宋体" w:hAnsi="宋体" w:cs="宋体"/>
          <w:sz w:val="28"/>
          <w:szCs w:val="28"/>
        </w:rPr>
      </w:pPr>
      <w:r>
        <w:rPr>
          <w:rFonts w:hint="eastAsia" w:ascii="宋体" w:hAnsi="宋体" w:cs="宋体"/>
          <w:sz w:val="28"/>
          <w:szCs w:val="28"/>
        </w:rPr>
        <w:t>本年度学校师资队伍整体实力得到进一步提升。</w:t>
      </w:r>
      <w:r>
        <w:rPr>
          <w:rFonts w:ascii="宋体" w:hAnsi="宋体" w:cs="宋体"/>
          <w:sz w:val="28"/>
          <w:szCs w:val="28"/>
        </w:rPr>
        <w:t>5月12</w:t>
      </w:r>
      <w:r>
        <w:rPr>
          <w:rFonts w:hint="eastAsia" w:ascii="宋体" w:hAnsi="宋体" w:cs="宋体"/>
          <w:sz w:val="28"/>
          <w:szCs w:val="28"/>
        </w:rPr>
        <w:t>名</w:t>
      </w:r>
      <w:r>
        <w:rPr>
          <w:rFonts w:ascii="宋体" w:hAnsi="宋体" w:cs="宋体"/>
          <w:sz w:val="28"/>
          <w:szCs w:val="28"/>
        </w:rPr>
        <w:t>教师参加阿坝州教科所举办的全州中职学校教师教学能力比赛</w:t>
      </w:r>
      <w:r>
        <w:rPr>
          <w:rFonts w:hint="eastAsia" w:ascii="宋体" w:hAnsi="宋体" w:cs="宋体"/>
          <w:sz w:val="28"/>
          <w:szCs w:val="28"/>
        </w:rPr>
        <w:t>，有</w:t>
      </w:r>
      <w:r>
        <w:rPr>
          <w:rFonts w:ascii="宋体" w:hAnsi="宋体" w:cs="宋体"/>
          <w:sz w:val="28"/>
          <w:szCs w:val="28"/>
        </w:rPr>
        <w:t>6</w:t>
      </w:r>
      <w:r>
        <w:rPr>
          <w:rFonts w:hint="eastAsia" w:ascii="宋体" w:hAnsi="宋体" w:cs="宋体"/>
          <w:sz w:val="28"/>
          <w:szCs w:val="28"/>
        </w:rPr>
        <w:t>名</w:t>
      </w:r>
      <w:r>
        <w:rPr>
          <w:rFonts w:ascii="宋体" w:hAnsi="宋体" w:cs="宋体"/>
          <w:sz w:val="28"/>
          <w:szCs w:val="28"/>
        </w:rPr>
        <w:t>教师获一等奖</w:t>
      </w:r>
      <w:r>
        <w:rPr>
          <w:rFonts w:hint="eastAsia" w:ascii="宋体" w:hAnsi="宋体" w:cs="宋体"/>
          <w:sz w:val="28"/>
          <w:szCs w:val="28"/>
        </w:rPr>
        <w:t>，</w:t>
      </w:r>
      <w:r>
        <w:rPr>
          <w:rFonts w:ascii="宋体" w:hAnsi="宋体" w:cs="宋体"/>
          <w:sz w:val="28"/>
          <w:szCs w:val="28"/>
        </w:rPr>
        <w:t>4</w:t>
      </w:r>
      <w:r>
        <w:rPr>
          <w:rFonts w:hint="eastAsia" w:ascii="宋体" w:hAnsi="宋体" w:cs="宋体"/>
          <w:sz w:val="28"/>
          <w:szCs w:val="28"/>
        </w:rPr>
        <w:t>名教师</w:t>
      </w:r>
      <w:r>
        <w:rPr>
          <w:rFonts w:ascii="宋体" w:hAnsi="宋体" w:cs="宋体"/>
          <w:sz w:val="28"/>
          <w:szCs w:val="28"/>
        </w:rPr>
        <w:t>获二等奖</w:t>
      </w:r>
      <w:r>
        <w:rPr>
          <w:rFonts w:hint="eastAsia" w:ascii="宋体" w:hAnsi="宋体" w:cs="宋体"/>
          <w:sz w:val="28"/>
          <w:szCs w:val="28"/>
        </w:rPr>
        <w:t>；</w:t>
      </w:r>
      <w:r>
        <w:rPr>
          <w:rFonts w:ascii="宋体" w:hAnsi="宋体" w:cs="宋体"/>
          <w:sz w:val="28"/>
          <w:szCs w:val="28"/>
        </w:rPr>
        <w:t>7月参加四川省中等职业学校教师教学能力比赛</w:t>
      </w:r>
      <w:r>
        <w:rPr>
          <w:rFonts w:hint="eastAsia" w:ascii="宋体" w:hAnsi="宋体" w:cs="宋体"/>
          <w:sz w:val="28"/>
          <w:szCs w:val="28"/>
        </w:rPr>
        <w:t>，有</w:t>
      </w:r>
      <w:r>
        <w:rPr>
          <w:rFonts w:ascii="宋体" w:hAnsi="宋体" w:cs="宋体"/>
          <w:sz w:val="28"/>
          <w:szCs w:val="28"/>
        </w:rPr>
        <w:t>1名教师获全省二等奖，2名教师获全省三等奖。</w:t>
      </w:r>
    </w:p>
    <w:p>
      <w:pPr>
        <w:pStyle w:val="3"/>
        <w:ind w:firstLine="562"/>
      </w:pPr>
      <w:bookmarkStart w:id="62" w:name="_Toc21257"/>
      <w:bookmarkStart w:id="63" w:name="_Toc531602438"/>
      <w:bookmarkStart w:id="64" w:name="_Toc531602786"/>
      <w:bookmarkStart w:id="65" w:name="_Toc531679161"/>
      <w:r>
        <w:rPr>
          <w:rFonts w:hint="eastAsia" w:ascii="黑体" w:hAnsi="黑体"/>
        </w:rPr>
        <w:t>3.4</w:t>
      </w:r>
      <w:r>
        <w:rPr>
          <w:rFonts w:hint="eastAsia"/>
        </w:rPr>
        <w:t>规范管理</w:t>
      </w:r>
      <w:bookmarkEnd w:id="62"/>
      <w:r>
        <w:rPr>
          <w:rFonts w:hint="eastAsia"/>
        </w:rPr>
        <w:t xml:space="preserve">：规范制度标准 </w:t>
      </w:r>
      <w:bookmarkEnd w:id="63"/>
      <w:bookmarkEnd w:id="64"/>
      <w:bookmarkEnd w:id="65"/>
      <w:r>
        <w:rPr>
          <w:rFonts w:hint="eastAsia"/>
        </w:rPr>
        <w:t>推动学校发展</w:t>
      </w:r>
    </w:p>
    <w:p>
      <w:pPr>
        <w:ind w:firstLine="560" w:firstLineChars="200"/>
        <w:rPr>
          <w:rFonts w:ascii="宋体" w:hAnsi="宋体" w:cs="宋体"/>
          <w:color w:val="000000"/>
          <w:sz w:val="28"/>
          <w:szCs w:val="28"/>
        </w:rPr>
      </w:pPr>
      <w:r>
        <w:rPr>
          <w:rFonts w:hint="eastAsia" w:ascii="宋体" w:hAnsi="宋体" w:cs="宋体"/>
          <w:color w:val="000000"/>
          <w:sz w:val="28"/>
          <w:szCs w:val="28"/>
        </w:rPr>
        <w:t>学校通过创建省级示范校，完善了管理制度和办学标准，在执行中坚持“以人为本”，在学校改革发展中让教职工参与决策、参与实施，参与管理。</w:t>
      </w:r>
    </w:p>
    <w:p>
      <w:pPr>
        <w:ind w:firstLine="560" w:firstLineChars="200"/>
        <w:rPr>
          <w:rFonts w:ascii="宋体" w:hAnsi="宋体" w:cs="宋体"/>
          <w:color w:val="000000"/>
          <w:sz w:val="28"/>
          <w:szCs w:val="28"/>
        </w:rPr>
      </w:pPr>
      <w:r>
        <w:rPr>
          <w:rFonts w:hint="eastAsia" w:ascii="宋体" w:hAnsi="宋体" w:cs="宋体"/>
          <w:color w:val="000000"/>
          <w:sz w:val="28"/>
          <w:szCs w:val="28"/>
        </w:rPr>
        <w:t>学校建立和完善以教职工代表大会为基本形式的各种民主管理制度，落实教职工代表大会的各项职权，如岗位定级、年度评优等对教职工利益敏感的重大校务，都通过召开职代会讨论、表决，民主决定，坚持了公开、公正、公平的原则，实行校务透明、公开，教职工比较满意，保证了学校在改革中求稳定，稳定中图发展。</w:t>
      </w:r>
    </w:p>
    <w:p>
      <w:pPr>
        <w:ind w:firstLine="560" w:firstLineChars="200"/>
        <w:rPr>
          <w:rFonts w:ascii="宋体" w:hAnsi="宋体" w:cs="宋体"/>
          <w:b/>
          <w:color w:val="000000"/>
          <w:sz w:val="28"/>
          <w:szCs w:val="28"/>
        </w:rPr>
      </w:pPr>
      <w:r>
        <w:rPr>
          <w:rFonts w:hint="eastAsia" w:ascii="宋体" w:hAnsi="宋体" w:cs="宋体"/>
          <w:color w:val="000000"/>
          <w:sz w:val="28"/>
          <w:szCs w:val="28"/>
        </w:rPr>
        <w:t>为维护正常的教育教学秩序，学校建立了《官方微博、微信账号管理办法》《新闻发布管理办法》《职工安全用网规范》等制度，修订完善了《申报中级、高级教师职称资格实施办法》《专业技术岗位竞争性晋级实施办法》《采购、验收入库制度》《招投标、采购监督制度》等。通过梳理形成了《阿坝中职校管理制度汇编》《办学标准汇编》管理制度体系。</w:t>
      </w:r>
    </w:p>
    <w:p>
      <w:pPr>
        <w:pStyle w:val="3"/>
        <w:ind w:firstLine="562"/>
      </w:pPr>
      <w:bookmarkStart w:id="66" w:name="_Toc760"/>
      <w:bookmarkStart w:id="67" w:name="_Toc531602439"/>
      <w:bookmarkStart w:id="68" w:name="_Toc531602787"/>
      <w:bookmarkStart w:id="69" w:name="_Toc531679162"/>
      <w:r>
        <w:rPr>
          <w:rFonts w:ascii="黑体" w:hAnsi="黑体"/>
        </w:rPr>
        <w:t>3.</w:t>
      </w:r>
      <w:r>
        <w:rPr>
          <w:rFonts w:hint="eastAsia" w:ascii="黑体" w:hAnsi="黑体"/>
        </w:rPr>
        <w:t>5</w:t>
      </w:r>
      <w:r>
        <w:rPr>
          <w:rFonts w:ascii="黑体" w:hAnsi="黑体"/>
        </w:rPr>
        <w:t xml:space="preserve"> </w:t>
      </w:r>
      <w:r>
        <w:t>德育工作情况</w:t>
      </w:r>
      <w:bookmarkEnd w:id="66"/>
      <w:r>
        <w:rPr>
          <w:rFonts w:hint="eastAsia"/>
        </w:rPr>
        <w:t>：</w:t>
      </w:r>
      <w:bookmarkEnd w:id="67"/>
      <w:bookmarkEnd w:id="68"/>
      <w:bookmarkEnd w:id="69"/>
      <w:r>
        <w:rPr>
          <w:rFonts w:hint="eastAsia"/>
        </w:rPr>
        <w:t>深化德育工作 取得良好成效</w:t>
      </w:r>
    </w:p>
    <w:p>
      <w:pPr>
        <w:ind w:firstLine="560" w:firstLineChars="200"/>
        <w:rPr>
          <w:rFonts w:ascii="宋体" w:hAnsi="宋体" w:cs="宋体"/>
          <w:color w:val="000000"/>
          <w:sz w:val="28"/>
          <w:szCs w:val="28"/>
        </w:rPr>
      </w:pPr>
      <w:r>
        <w:rPr>
          <w:rFonts w:hint="eastAsia" w:ascii="宋体" w:hAnsi="宋体" w:cs="宋体"/>
          <w:color w:val="000000"/>
          <w:sz w:val="28"/>
          <w:szCs w:val="28"/>
        </w:rPr>
        <w:t>德育工作是学校管理工作的首位，学校认真调研、探讨，有针对性地组织、开展各项德育活动，取得了良好成效。</w:t>
      </w:r>
    </w:p>
    <w:p>
      <w:pPr>
        <w:ind w:firstLine="560" w:firstLineChars="200"/>
        <w:rPr>
          <w:rFonts w:ascii="宋体" w:hAnsi="宋体" w:cs="宋体"/>
          <w:color w:val="000000"/>
          <w:sz w:val="28"/>
          <w:szCs w:val="28"/>
        </w:rPr>
      </w:pPr>
      <w:r>
        <w:rPr>
          <w:rFonts w:hint="eastAsia" w:ascii="宋体" w:hAnsi="宋体" w:cs="宋体"/>
          <w:color w:val="000000"/>
          <w:sz w:val="28"/>
          <w:szCs w:val="28"/>
        </w:rPr>
        <w:t>一是加强领导，健全完善德育机构。学校每学期组织召开一次规模较大的德育工作会议，由校党委书记王树全同志、负责德育工作的副校长夺波同志、学生处处长杨宇发、副处长张代富、学生处全体成员、各班班主任参加会议。通过相互学习，及时更新工作理念。本年度3月3日和8月17日，学校分别召开了两次新学期开学工作会议，就不同部门具体落实德育工作任务，建立完善的德育工作网络系统，健全各机构的工作职责和工作制度。为把德育工作落到实处，学校加强对德育工作过程性的检查指导，每学期对学校完成德育目标和履职情况进行考核。</w:t>
      </w:r>
    </w:p>
    <w:p>
      <w:pPr>
        <w:ind w:firstLine="560" w:firstLineChars="200"/>
        <w:rPr>
          <w:rFonts w:ascii="宋体" w:hAnsi="宋体" w:cs="宋体"/>
          <w:color w:val="000000"/>
          <w:sz w:val="28"/>
          <w:szCs w:val="28"/>
        </w:rPr>
      </w:pPr>
      <w:r>
        <w:rPr>
          <w:rFonts w:hint="eastAsia" w:ascii="宋体" w:hAnsi="宋体" w:cs="宋体"/>
          <w:color w:val="000000"/>
          <w:sz w:val="28"/>
          <w:szCs w:val="28"/>
        </w:rPr>
        <w:t>二是落实德育常规，促进校园文化建设。本年度学校突出德育重要地位，构建全员育人、全程育人、全面育人的德育管理和校园文化建设模式。</w:t>
      </w:r>
    </w:p>
    <w:p>
      <w:pPr>
        <w:pStyle w:val="31"/>
        <w:numPr>
          <w:ilvl w:val="0"/>
          <w:numId w:val="2"/>
        </w:numPr>
        <w:ind w:left="0" w:firstLine="0" w:firstLineChars="0"/>
        <w:rPr>
          <w:rFonts w:ascii="宋体" w:hAnsi="宋体" w:cs="宋体"/>
          <w:color w:val="000000"/>
          <w:sz w:val="28"/>
          <w:szCs w:val="28"/>
        </w:rPr>
      </w:pPr>
      <w:r>
        <w:rPr>
          <w:rFonts w:hint="eastAsia" w:ascii="宋体" w:hAnsi="宋体" w:cs="宋体"/>
          <w:color w:val="000000"/>
          <w:sz w:val="28"/>
          <w:szCs w:val="28"/>
        </w:rPr>
        <w:t>以校园文化建设作为切入点，按照“寻找亮点，打造精品”的原则，因地制宜，因校制宜，突出文化特点，重视发挥师生的主体作用，强调实效性和针对性，全力搞好主题突出、简洁明快的校园文化建设和班级文化建设；</w:t>
      </w:r>
      <w:r>
        <w:rPr>
          <w:rFonts w:hint="eastAsia" w:ascii="宋体" w:hAnsi="宋体" w:cs="宋体"/>
          <w:color w:val="auto"/>
          <w:sz w:val="28"/>
          <w:szCs w:val="28"/>
        </w:rPr>
        <w:t>②针对当前青少年的特点和思想品德建设的实际，用富有创造性的鲜活方式将阿坝州中等职业技术学校学生“八荣八耻”引进课堂，作为思想品德教育的重要内容。本年度学校还开设了“六心讲堂”，即：开心、真心、专心、恒心、信心以及同心，让学生在成功中得到满足，在满足中得到愉悦，在愉悦中陶冶情操，促使学生良好个性的形成。学校还聘请了专业心理学老师为全校学生做心理辅导和心理咨询，收到良好成效。</w:t>
      </w:r>
      <w:r>
        <w:rPr>
          <w:rFonts w:hint="eastAsia" w:ascii="宋体" w:hAnsi="宋体" w:cs="宋体"/>
          <w:color w:val="000000"/>
          <w:sz w:val="28"/>
          <w:szCs w:val="28"/>
        </w:rPr>
        <w:t>③抓住机会积极开展教育实践活动，实现德育生活化。学校充分利用法定节日、传统节日、重大历史事件纪念日，以及入学、入团等有特殊意义的重要日子，集中开展学生思想道德教育实践活动；关注社会的弱势群体，师生结对，党支部结对关爱帮助贫困学子；④健全德育制度，实现德育工作常态化。学校安全工作做到制度化、规范化、程序化。教师全员参与，在学生活动的区域值周教师必须到岗到位，监督和指导学生的课余生活，处理学生矛盾，让德育教育随处可见；学生自治工作长期化，制定了一系列规章制度，如“升国旗制度”“文明寝室评比制度”“卫生评比制度”“学生会值周制度”；学生共同制定个性化的班级公约，让班级文化张扬着各自的个性，打造“诚信班级”“礼仪班级”“和谐班级”“拼搏班级”等等。学校每学期都举行安全疏散演练活动，如5.12地震演练，119消防安全疏散演练，增强学生安全意识。</w:t>
      </w:r>
    </w:p>
    <w:p>
      <w:pPr>
        <w:ind w:firstLine="560" w:firstLineChars="200"/>
        <w:rPr>
          <w:rFonts w:ascii="宋体" w:hAnsi="宋体" w:cs="宋体"/>
          <w:color w:val="000000"/>
          <w:sz w:val="28"/>
          <w:szCs w:val="28"/>
        </w:rPr>
      </w:pPr>
      <w:r>
        <w:rPr>
          <w:rFonts w:hint="eastAsia" w:ascii="宋体" w:hAnsi="宋体" w:cs="宋体"/>
          <w:color w:val="000000"/>
          <w:sz w:val="28"/>
          <w:szCs w:val="28"/>
        </w:rPr>
        <w:t>三是积极开展文明创建活动和德育主题活动。①主题班会活动做到周周有主题。本年度开展了“网络安全”“心怀感恩，与爱同行”“冬季用火用电安全”“学习十九大，青年在行动”“宪法宣传”、民族团结一家亲”“节能减排、绿色先行”等主题班会活动；提高学生参与社会实践的能力，让学生树立了低碳生活的理念；②举办形式多样的文体活动，如“五四”表彰晚会，“庆国庆，迎新生”活动，“一二.九”活动等等，发挥个人特长，展现自我风采。</w:t>
      </w:r>
    </w:p>
    <w:p>
      <w:pPr>
        <w:ind w:firstLine="560" w:firstLineChars="200"/>
        <w:rPr>
          <w:rFonts w:ascii="宋体" w:hAnsi="宋体" w:cs="宋体"/>
          <w:color w:val="000000"/>
          <w:sz w:val="28"/>
          <w:szCs w:val="28"/>
        </w:rPr>
      </w:pPr>
      <w:r>
        <w:rPr>
          <w:rFonts w:hint="eastAsia" w:ascii="宋体" w:hAnsi="宋体" w:cs="宋体"/>
          <w:color w:val="000000"/>
          <w:sz w:val="28"/>
          <w:szCs w:val="28"/>
        </w:rPr>
        <w:t>四是让课堂教学成为德育阵地。学校在学科教学中渗透德育。语文课上教师引导学生读作品，学人品；数学课上以科学家的事迹激励学生坚忍不拔，勇攀高峰；体育课上以为国争光的奥运健儿勉励学生团结协作，勇于拼搏；安全教育课上采用学生喜闻乐见，生动活泼的方式进行教学，把传授知识同陶冶情操以及养成良好的行为习惯结合起来；网络技术课上加强对学生网络道德规范的教育，培养学生网络道德意识和道德责任感。晨读课中朗读弟子规，从传统文化中汲取国学精髓。</w:t>
      </w:r>
    </w:p>
    <w:p>
      <w:pPr>
        <w:ind w:firstLine="560" w:firstLineChars="200"/>
        <w:rPr>
          <w:rFonts w:ascii="宋体" w:hAnsi="宋体" w:cs="宋体"/>
          <w:color w:val="000000"/>
          <w:sz w:val="28"/>
          <w:szCs w:val="28"/>
        </w:rPr>
      </w:pPr>
      <w:r>
        <w:rPr>
          <w:rFonts w:hint="eastAsia" w:ascii="宋体" w:hAnsi="宋体" w:cs="宋体"/>
          <w:color w:val="000000"/>
          <w:sz w:val="28"/>
          <w:szCs w:val="28"/>
        </w:rPr>
        <w:t>五是弘扬高尚师德，让教师具备德育感召力。学校明确要求全体教师“立终身从教志向，树为人师表品行，兴教学研究风气，尽教书育人职责”，形成“人人承担育人重任，堂堂渗透德育内容，处处蕴含德育寓意，时时贯彻德育思想，党政工团齐抓共管”的良好德育氛围和格局。利用暑期开展全员育人培训班，进一步提高师能师德。</w:t>
      </w:r>
    </w:p>
    <w:p>
      <w:pPr>
        <w:ind w:firstLine="560" w:firstLineChars="200"/>
        <w:rPr>
          <w:rFonts w:ascii="宋体" w:hAnsi="宋体" w:cs="宋体"/>
          <w:color w:val="000000"/>
          <w:sz w:val="28"/>
          <w:szCs w:val="28"/>
        </w:rPr>
      </w:pPr>
      <w:r>
        <w:rPr>
          <w:rFonts w:hint="eastAsia" w:ascii="宋体" w:hAnsi="宋体" w:cs="宋体"/>
          <w:color w:val="000000"/>
          <w:sz w:val="28"/>
          <w:szCs w:val="28"/>
        </w:rPr>
        <w:t>六是“三结合”教育得到空前加强。学校充分利用地方和社会的资源，不断创新教育活动载体，精心构建德育网络，积极营造教育氛围，坚持贴近实际，贴近生活，贴近学生的原则，不断提高德育工作实效，创新德育管理水平。</w:t>
      </w:r>
    </w:p>
    <w:p>
      <w:pPr>
        <w:ind w:firstLine="560" w:firstLineChars="200"/>
        <w:rPr>
          <w:rFonts w:ascii="宋体" w:hAnsi="宋体" w:cs="宋体"/>
          <w:color w:val="000000"/>
          <w:sz w:val="28"/>
          <w:szCs w:val="28"/>
        </w:rPr>
      </w:pPr>
      <w:r>
        <w:rPr>
          <w:rFonts w:hint="eastAsia" w:ascii="宋体" w:hAnsi="宋体" w:cs="宋体"/>
          <w:color w:val="000000"/>
          <w:sz w:val="28"/>
          <w:szCs w:val="28"/>
        </w:rPr>
        <w:t>学校现有专职德育工作人员18人，德育课教师数量6人，较上年增加2人；德育课教师专业对口率80%。</w:t>
      </w:r>
      <w:bookmarkStart w:id="70" w:name="_Toc9654"/>
      <w:bookmarkStart w:id="71" w:name="_Toc531679163"/>
      <w:bookmarkStart w:id="72" w:name="_Toc531602788"/>
      <w:bookmarkStart w:id="73" w:name="_Toc531602440"/>
    </w:p>
    <w:p>
      <w:pPr>
        <w:pStyle w:val="3"/>
        <w:ind w:firstLine="562"/>
      </w:pPr>
      <w:r>
        <w:rPr>
          <w:rFonts w:hint="eastAsia" w:ascii="黑体" w:hAnsi="黑体"/>
        </w:rPr>
        <w:t>3.6</w:t>
      </w:r>
      <w:r>
        <w:rPr>
          <w:rFonts w:hint="eastAsia"/>
        </w:rPr>
        <w:t>党建工作情况</w:t>
      </w:r>
      <w:bookmarkEnd w:id="70"/>
      <w:r>
        <w:rPr>
          <w:rFonts w:hint="eastAsia"/>
        </w:rPr>
        <w:t>：</w:t>
      </w:r>
      <w:bookmarkEnd w:id="71"/>
      <w:bookmarkEnd w:id="72"/>
      <w:bookmarkEnd w:id="73"/>
      <w:r>
        <w:rPr>
          <w:rFonts w:hint="eastAsia"/>
        </w:rPr>
        <w:t>坚持党建引领 提供组织思想保障</w:t>
      </w:r>
    </w:p>
    <w:p>
      <w:pPr>
        <w:autoSpaceDE w:val="0"/>
        <w:autoSpaceDN w:val="0"/>
        <w:adjustRightInd w:val="0"/>
        <w:spacing w:line="360" w:lineRule="auto"/>
        <w:ind w:firstLine="560" w:firstLineChars="200"/>
        <w:jc w:val="left"/>
        <w:rPr>
          <w:rFonts w:ascii="宋体" w:hAnsi="宋体"/>
          <w:bCs/>
          <w:sz w:val="28"/>
          <w:szCs w:val="28"/>
        </w:rPr>
      </w:pPr>
      <w:r>
        <w:rPr>
          <w:rFonts w:hint="eastAsia" w:ascii="宋体" w:hAnsi="宋体"/>
          <w:bCs/>
          <w:sz w:val="28"/>
          <w:szCs w:val="28"/>
        </w:rPr>
        <w:t>2019年，学校党建工作以习近平新时代中国特色社会主义思想和党的十九大精神为指导，深入贯彻习近平总书记来川视察时的重要讲话精神，坚持稳中求进、内涵发展的基本原则，以建设“民族示范学校”为目标，认真贯彻落实《阿坝州教育条例》，不断提升职业教育水平，努力办好人民满意的职业教育。激发党员活力，为学校各项工作开展提供了可靠的组织思想保障。</w:t>
      </w:r>
    </w:p>
    <w:p>
      <w:pPr>
        <w:autoSpaceDE w:val="0"/>
        <w:autoSpaceDN w:val="0"/>
        <w:adjustRightInd w:val="0"/>
        <w:spacing w:line="360" w:lineRule="auto"/>
        <w:ind w:firstLine="560" w:firstLineChars="200"/>
        <w:jc w:val="left"/>
        <w:rPr>
          <w:rFonts w:ascii="宋体" w:hAnsi="宋体"/>
          <w:bCs/>
          <w:sz w:val="28"/>
          <w:szCs w:val="28"/>
        </w:rPr>
      </w:pPr>
      <w:r>
        <w:rPr>
          <w:rFonts w:hint="eastAsia" w:ascii="宋体" w:hAnsi="宋体"/>
          <w:bCs/>
          <w:sz w:val="28"/>
          <w:szCs w:val="28"/>
        </w:rPr>
        <w:t>一是健全了党建工作责任制，学校与州教育局、党支部与党委签订《党建目标责任书》，认真履行“一岗双责”，将党风廉政建设责任落实到处科室及个人。细化党委班子分工，将惩治和预防腐败体系建设、党风廉政建设纳入班子成员考核的重要内容，做到开展工作有计划、执行过程有检查、年终工作有评比,对违纪的党员进行了处分。</w:t>
      </w:r>
    </w:p>
    <w:p>
      <w:pPr>
        <w:autoSpaceDE w:val="0"/>
        <w:autoSpaceDN w:val="0"/>
        <w:adjustRightInd w:val="0"/>
        <w:spacing w:line="360" w:lineRule="auto"/>
        <w:ind w:firstLine="560" w:firstLineChars="200"/>
        <w:jc w:val="left"/>
        <w:rPr>
          <w:rFonts w:ascii="宋体" w:hAnsi="宋体"/>
          <w:bCs/>
          <w:sz w:val="28"/>
          <w:szCs w:val="28"/>
        </w:rPr>
      </w:pPr>
      <w:r>
        <w:rPr>
          <w:rFonts w:hint="eastAsia" w:ascii="宋体" w:hAnsi="宋体"/>
          <w:bCs/>
          <w:sz w:val="28"/>
          <w:szCs w:val="28"/>
        </w:rPr>
        <w:t>二是推行党委书记与行政分管领导、党支书记与行政职能处室负责人相对应的联系模式，提高学校党建工作的有效性。为夯实基础，学校深入开展党员学习培训，通过建立学习机制、制定学习计划、确定学习主题，有效提升党员队伍素质。牢固树立“四个意识”，以高度的责任感、使命感，高质量、高效率地完成好各项任务，推进教育教学工作健康发展。</w:t>
      </w:r>
    </w:p>
    <w:p>
      <w:pPr>
        <w:autoSpaceDE w:val="0"/>
        <w:autoSpaceDN w:val="0"/>
        <w:adjustRightInd w:val="0"/>
        <w:spacing w:line="360" w:lineRule="auto"/>
        <w:ind w:firstLine="560" w:firstLineChars="200"/>
        <w:jc w:val="left"/>
        <w:rPr>
          <w:rFonts w:ascii="宋体" w:hAnsi="宋体"/>
          <w:bCs/>
          <w:sz w:val="28"/>
          <w:szCs w:val="28"/>
        </w:rPr>
      </w:pPr>
      <w:r>
        <w:rPr>
          <w:rFonts w:hint="eastAsia" w:ascii="宋体" w:hAnsi="宋体"/>
          <w:bCs/>
          <w:sz w:val="28"/>
          <w:szCs w:val="28"/>
        </w:rPr>
        <w:t>三是开展“不忘初心、牢记使命”主题教育工作。制定领导班子和个人问题清单和整改台账、领导班子对照党章党规找差距方案、讲党课、制定调研报告、召开主题教育调研成果交流会议、对照群众需解决的实际问题梳理解决措施，制定对照“8+8+7+N”问题清单和整改台账，广泛开展组织全体师生赴九寨沟非遗文化纪念馆参观学习红色文化、教师开展师徒结对帮扶仪式、欧光琳名师工作室赴阿坝州中职校送教、学校党委组织校本部全体党员到松潘县川主寺镇红军纪念碑碑园开展主题教育活动、师生组织观看电影《特别追踪》《红星照耀中国》和红色历史题材电影《红色土司》、支部组织党员观看口述历史纪录片、向黄文秀和周永开同志等身边典型学习、学习习近平总书记在党的十九届四中全会上的重要讲话和全会精神、召开组织生活会和民主生活会等活动。深入开展以彻底的自我革命精神解决违背初心和使命的各种问题，努力实现理论学习有收获、思想政治受洗礼、干事创业敢担当、为民服务解难题、清正廉洁作表率的目标。</w:t>
      </w:r>
    </w:p>
    <w:p>
      <w:pPr>
        <w:autoSpaceDE w:val="0"/>
        <w:autoSpaceDN w:val="0"/>
        <w:adjustRightInd w:val="0"/>
        <w:spacing w:line="360" w:lineRule="auto"/>
        <w:ind w:firstLine="560" w:firstLineChars="200"/>
        <w:jc w:val="left"/>
        <w:rPr>
          <w:rFonts w:ascii="宋体" w:hAnsi="宋体"/>
          <w:bCs/>
          <w:sz w:val="28"/>
          <w:szCs w:val="28"/>
        </w:rPr>
      </w:pPr>
      <w:r>
        <w:rPr>
          <w:rFonts w:hint="eastAsia" w:ascii="宋体" w:hAnsi="宋体"/>
          <w:bCs/>
          <w:sz w:val="28"/>
          <w:szCs w:val="28"/>
        </w:rPr>
        <w:t>2019年学校党建工作深入推进，党员总数增加7人，党报党刊订阅增加30份。</w:t>
      </w:r>
    </w:p>
    <w:p>
      <w:pPr>
        <w:autoSpaceDE w:val="0"/>
        <w:autoSpaceDN w:val="0"/>
        <w:adjustRightInd w:val="0"/>
        <w:spacing w:line="360" w:lineRule="auto"/>
        <w:jc w:val="center"/>
        <w:rPr>
          <w:rFonts w:ascii="宋体" w:hAnsi="宋体"/>
          <w:b/>
          <w:sz w:val="28"/>
          <w:szCs w:val="28"/>
        </w:rPr>
      </w:pPr>
      <w:r>
        <w:rPr>
          <w:rFonts w:hint="eastAsia" w:ascii="宋体" w:hAnsi="宋体"/>
          <w:b/>
          <w:sz w:val="28"/>
          <w:szCs w:val="28"/>
        </w:rPr>
        <w:t>表3-1  2017-2018年学校党建工作情况</w:t>
      </w:r>
    </w:p>
    <w:tbl>
      <w:tblPr>
        <w:tblStyle w:val="12"/>
        <w:tblW w:w="8369" w:type="dxa"/>
        <w:tblInd w:w="38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00"/>
        <w:gridCol w:w="3900"/>
        <w:gridCol w:w="1783"/>
        <w:gridCol w:w="16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000" w:type="dxa"/>
            <w:tcBorders>
              <w:top w:val="single" w:color="000000" w:sz="8" w:space="0"/>
              <w:left w:val="single" w:color="000000" w:sz="8" w:space="0"/>
              <w:bottom w:val="single" w:color="000000" w:sz="8" w:space="0"/>
              <w:right w:val="single" w:color="000000" w:sz="8" w:space="0"/>
            </w:tcBorders>
            <w:shd w:val="clear" w:color="auto" w:fill="4F81BD" w:themeFill="accent1"/>
          </w:tcPr>
          <w:p>
            <w:pPr>
              <w:autoSpaceDE w:val="0"/>
              <w:autoSpaceDN w:val="0"/>
              <w:adjustRightInd w:val="0"/>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序号</w:t>
            </w:r>
          </w:p>
        </w:tc>
        <w:tc>
          <w:tcPr>
            <w:tcW w:w="3900" w:type="dxa"/>
            <w:tcBorders>
              <w:top w:val="single" w:color="000000" w:sz="8" w:space="0"/>
              <w:left w:val="single" w:color="000000" w:sz="8" w:space="0"/>
              <w:bottom w:val="single" w:color="000000" w:sz="8" w:space="0"/>
              <w:right w:val="single" w:color="000000" w:sz="8" w:space="0"/>
            </w:tcBorders>
            <w:shd w:val="clear" w:color="auto" w:fill="4F81BD" w:themeFill="accent1"/>
          </w:tcPr>
          <w:p>
            <w:pPr>
              <w:autoSpaceDE w:val="0"/>
              <w:autoSpaceDN w:val="0"/>
              <w:adjustRightInd w:val="0"/>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指标</w:t>
            </w:r>
          </w:p>
        </w:tc>
        <w:tc>
          <w:tcPr>
            <w:tcW w:w="1783" w:type="dxa"/>
            <w:tcBorders>
              <w:top w:val="single" w:color="000000" w:sz="8" w:space="0"/>
              <w:left w:val="single" w:color="000000" w:sz="8" w:space="0"/>
              <w:bottom w:val="single" w:color="000000" w:sz="8" w:space="0"/>
              <w:right w:val="single" w:color="000000" w:sz="8" w:space="0"/>
            </w:tcBorders>
            <w:shd w:val="clear" w:color="auto" w:fill="4F81BD" w:themeFill="accent1"/>
          </w:tcPr>
          <w:p>
            <w:pPr>
              <w:autoSpaceDE w:val="0"/>
              <w:autoSpaceDN w:val="0"/>
              <w:adjustRightInd w:val="0"/>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2018年</w:t>
            </w:r>
          </w:p>
        </w:tc>
        <w:tc>
          <w:tcPr>
            <w:tcW w:w="1686" w:type="dxa"/>
            <w:tcBorders>
              <w:top w:val="single" w:color="000000" w:sz="8" w:space="0"/>
              <w:left w:val="single" w:color="000000" w:sz="8" w:space="0"/>
              <w:bottom w:val="single" w:color="000000" w:sz="8" w:space="0"/>
              <w:right w:val="single" w:color="000000" w:sz="8" w:space="0"/>
            </w:tcBorders>
            <w:shd w:val="clear" w:color="auto" w:fill="4F81BD" w:themeFill="accent1"/>
          </w:tcPr>
          <w:p>
            <w:pPr>
              <w:autoSpaceDE w:val="0"/>
              <w:autoSpaceDN w:val="0"/>
              <w:adjustRightInd w:val="0"/>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2019年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1</w:t>
            </w:r>
          </w:p>
        </w:tc>
        <w:tc>
          <w:tcPr>
            <w:tcW w:w="3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学校党员总数</w:t>
            </w:r>
          </w:p>
        </w:tc>
        <w:tc>
          <w:tcPr>
            <w:tcW w:w="17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69</w:t>
            </w:r>
          </w:p>
        </w:tc>
        <w:tc>
          <w:tcPr>
            <w:tcW w:w="16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2</w:t>
            </w:r>
          </w:p>
        </w:tc>
        <w:tc>
          <w:tcPr>
            <w:tcW w:w="3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党支部数</w:t>
            </w:r>
          </w:p>
        </w:tc>
        <w:tc>
          <w:tcPr>
            <w:tcW w:w="17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3</w:t>
            </w:r>
          </w:p>
        </w:tc>
        <w:tc>
          <w:tcPr>
            <w:tcW w:w="16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3</w:t>
            </w:r>
          </w:p>
        </w:tc>
        <w:tc>
          <w:tcPr>
            <w:tcW w:w="3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党务工作人员培训人次</w:t>
            </w:r>
          </w:p>
        </w:tc>
        <w:tc>
          <w:tcPr>
            <w:tcW w:w="17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12</w:t>
            </w:r>
          </w:p>
        </w:tc>
        <w:tc>
          <w:tcPr>
            <w:tcW w:w="16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4</w:t>
            </w:r>
          </w:p>
        </w:tc>
        <w:tc>
          <w:tcPr>
            <w:tcW w:w="3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党组织开展党员教育培训次数</w:t>
            </w:r>
          </w:p>
        </w:tc>
        <w:tc>
          <w:tcPr>
            <w:tcW w:w="17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8</w:t>
            </w:r>
          </w:p>
        </w:tc>
        <w:tc>
          <w:tcPr>
            <w:tcW w:w="16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5</w:t>
            </w:r>
          </w:p>
        </w:tc>
        <w:tc>
          <w:tcPr>
            <w:tcW w:w="3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发展党员人数</w:t>
            </w:r>
          </w:p>
        </w:tc>
        <w:tc>
          <w:tcPr>
            <w:tcW w:w="17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3</w:t>
            </w:r>
          </w:p>
        </w:tc>
        <w:tc>
          <w:tcPr>
            <w:tcW w:w="16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trPr>
        <w:tc>
          <w:tcPr>
            <w:tcW w:w="1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6</w:t>
            </w:r>
          </w:p>
        </w:tc>
        <w:tc>
          <w:tcPr>
            <w:tcW w:w="39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党报党刊订阅数</w:t>
            </w:r>
          </w:p>
        </w:tc>
        <w:tc>
          <w:tcPr>
            <w:tcW w:w="17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8</w:t>
            </w:r>
          </w:p>
        </w:tc>
        <w:tc>
          <w:tcPr>
            <w:tcW w:w="16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38</w:t>
            </w:r>
          </w:p>
        </w:tc>
      </w:tr>
    </w:tbl>
    <w:p/>
    <w:p>
      <w:pPr>
        <w:pStyle w:val="2"/>
        <w:ind w:firstLine="602"/>
        <w:rPr>
          <w:rFonts w:ascii="黑体" w:hAnsi="黑体"/>
        </w:rPr>
      </w:pPr>
      <w:bookmarkStart w:id="74" w:name="_Toc531679164"/>
      <w:bookmarkStart w:id="75" w:name="_Toc489899586"/>
      <w:bookmarkStart w:id="76" w:name="_Toc531602441"/>
      <w:bookmarkStart w:id="77" w:name="_Toc531602789"/>
      <w:bookmarkStart w:id="78" w:name="_Toc16591"/>
      <w:r>
        <w:rPr>
          <w:rFonts w:hint="eastAsia" w:ascii="黑体" w:hAnsi="黑体"/>
        </w:rPr>
        <w:t>4.校企合作</w:t>
      </w:r>
      <w:bookmarkEnd w:id="74"/>
      <w:bookmarkEnd w:id="75"/>
      <w:bookmarkEnd w:id="76"/>
      <w:bookmarkEnd w:id="77"/>
      <w:bookmarkEnd w:id="78"/>
    </w:p>
    <w:p>
      <w:pPr>
        <w:pStyle w:val="3"/>
        <w:ind w:firstLine="562"/>
      </w:pPr>
      <w:bookmarkStart w:id="79" w:name="_Toc21694"/>
      <w:bookmarkStart w:id="80" w:name="_Toc531602442"/>
      <w:bookmarkStart w:id="81" w:name="_Toc531602790"/>
      <w:bookmarkStart w:id="82" w:name="_Toc531679165"/>
      <w:r>
        <w:rPr>
          <w:rFonts w:ascii="黑体" w:hAnsi="黑体"/>
        </w:rPr>
        <w:t>4.1</w:t>
      </w:r>
      <w:r>
        <w:t>校企合作情况</w:t>
      </w:r>
      <w:bookmarkEnd w:id="79"/>
      <w:bookmarkEnd w:id="80"/>
      <w:bookmarkEnd w:id="81"/>
      <w:bookmarkEnd w:id="82"/>
      <w:r>
        <w:rPr>
          <w:rFonts w:hint="eastAsia"/>
        </w:rPr>
        <w:t>：深化“政、行、校、企、协”合作，发展现代职教</w:t>
      </w:r>
    </w:p>
    <w:p>
      <w:pPr>
        <w:ind w:firstLine="548" w:firstLineChars="196"/>
        <w:rPr>
          <w:rFonts w:ascii="宋体" w:hAnsi="宋体" w:cs="宋体"/>
          <w:bCs/>
          <w:color w:val="000000"/>
          <w:sz w:val="28"/>
          <w:szCs w:val="28"/>
        </w:rPr>
      </w:pPr>
      <w:r>
        <w:rPr>
          <w:rFonts w:hint="eastAsia" w:ascii="宋体" w:hAnsi="宋体" w:cs="宋体"/>
          <w:bCs/>
          <w:color w:val="000000"/>
          <w:sz w:val="28"/>
          <w:szCs w:val="28"/>
        </w:rPr>
        <w:t>学校深入贯彻落实党的十九大精神，落实《国务院关于加快发展现代职业教育的决定》和教育部等六部门《职业学校校企合作促进办法》原则要求，大力发展现代职业教育，深化产教融合、校企合作，促进职业教育高质量发展，提升服务经济社会发展水平。</w:t>
      </w:r>
    </w:p>
    <w:p>
      <w:pPr>
        <w:ind w:firstLine="550" w:firstLineChars="196"/>
        <w:rPr>
          <w:rFonts w:ascii="宋体" w:hAnsi="宋体" w:cs="宋体"/>
          <w:bCs/>
          <w:color w:val="auto"/>
          <w:sz w:val="28"/>
          <w:szCs w:val="28"/>
        </w:rPr>
      </w:pPr>
      <w:r>
        <w:rPr>
          <w:rFonts w:hint="eastAsia" w:ascii="宋体" w:hAnsi="宋体" w:cs="宋体"/>
          <w:b/>
          <w:color w:val="auto"/>
          <w:sz w:val="28"/>
          <w:szCs w:val="28"/>
        </w:rPr>
        <w:t>校企合作显成效。</w:t>
      </w:r>
      <w:r>
        <w:rPr>
          <w:rFonts w:hint="eastAsia" w:ascii="宋体" w:hAnsi="宋体" w:cs="宋体"/>
          <w:bCs/>
          <w:color w:val="auto"/>
          <w:sz w:val="28"/>
          <w:szCs w:val="28"/>
        </w:rPr>
        <w:t>2019年学校校企合作取得良好成效，①新增合作企业</w:t>
      </w:r>
      <w:r>
        <w:rPr>
          <w:rFonts w:ascii="宋体" w:hAnsi="宋体" w:cs="宋体"/>
          <w:bCs/>
          <w:color w:val="auto"/>
          <w:sz w:val="28"/>
          <w:szCs w:val="28"/>
        </w:rPr>
        <w:t>4</w:t>
      </w:r>
      <w:r>
        <w:rPr>
          <w:rFonts w:hint="eastAsia" w:ascii="宋体" w:hAnsi="宋体" w:cs="宋体"/>
          <w:bCs/>
          <w:color w:val="auto"/>
          <w:sz w:val="28"/>
          <w:szCs w:val="28"/>
        </w:rPr>
        <w:t>家，分别为四川鸡毛店餐饮管理有限公司、重庆宗申产业集团公司、成都舍拉图文化传播有限公司、</w:t>
      </w:r>
      <w:r>
        <w:rPr>
          <w:rFonts w:hint="eastAsia"/>
          <w:color w:val="auto"/>
          <w:sz w:val="28"/>
          <w:szCs w:val="28"/>
        </w:rPr>
        <w:t>成都市风向标汽车技术服务有限公司</w:t>
      </w:r>
      <w:r>
        <w:rPr>
          <w:rFonts w:hint="eastAsia" w:ascii="宋体" w:hAnsi="宋体" w:cs="宋体"/>
          <w:bCs/>
          <w:color w:val="auto"/>
          <w:sz w:val="28"/>
          <w:szCs w:val="28"/>
        </w:rPr>
        <w:t>；②按照与企业签订的协议开展校企合作班学生的培养，完成了宏义集团合作班79人的教学、实习工作；③率先在全省开设“双元双向”国企定向班和技能提升班，学生入学即签订就业协议，教育教学按照企业标准严格执行，在四川省陶行知研究会的帮助下开展“双元双向”制人才培养工作，首批招收学生120人，取得了良好的社会效益。</w:t>
      </w:r>
    </w:p>
    <w:p>
      <w:pPr>
        <w:ind w:firstLine="550" w:firstLineChars="196"/>
        <w:rPr>
          <w:rFonts w:ascii="宋体" w:hAnsi="宋体" w:cs="宋体"/>
          <w:bCs/>
          <w:color w:val="000000"/>
          <w:sz w:val="28"/>
          <w:szCs w:val="28"/>
        </w:rPr>
      </w:pPr>
      <w:r>
        <w:rPr>
          <w:rFonts w:hint="eastAsia" w:ascii="宋体" w:hAnsi="宋体" w:cs="宋体"/>
          <w:b/>
          <w:color w:val="000000"/>
          <w:sz w:val="28"/>
          <w:szCs w:val="28"/>
        </w:rPr>
        <w:t>加强中高职衔接。</w:t>
      </w:r>
      <w:r>
        <w:rPr>
          <w:rFonts w:hint="eastAsia" w:ascii="宋体" w:hAnsi="宋体" w:cs="宋体"/>
          <w:bCs/>
          <w:color w:val="000000"/>
          <w:sz w:val="28"/>
          <w:szCs w:val="28"/>
        </w:rPr>
        <w:t>学校以中职教育为主体，多层次多元化办学，积极推进中、高职衔接，搭建人才培养“直通车”。与成都农业科技职业学院、阿坝师院等高校合作举办“3+2”五年一贯制普通专科学历教育；与四川农业大学联合举办成人高等教育。</w:t>
      </w:r>
    </w:p>
    <w:p>
      <w:pPr>
        <w:ind w:firstLine="550" w:firstLineChars="196"/>
        <w:rPr>
          <w:color w:val="FF0000"/>
          <w:sz w:val="28"/>
          <w:szCs w:val="28"/>
        </w:rPr>
      </w:pPr>
      <w:r>
        <w:rPr>
          <w:rFonts w:hint="eastAsia" w:ascii="宋体" w:hAnsi="宋体" w:cs="宋体"/>
          <w:b/>
          <w:color w:val="auto"/>
          <w:sz w:val="28"/>
          <w:szCs w:val="28"/>
        </w:rPr>
        <w:t>校校、校协合作力度大。</w:t>
      </w:r>
      <w:r>
        <w:rPr>
          <w:rFonts w:hint="eastAsia" w:ascii="宋体" w:hAnsi="宋体" w:cs="宋体"/>
          <w:bCs/>
          <w:color w:val="auto"/>
          <w:sz w:val="28"/>
          <w:szCs w:val="28"/>
        </w:rPr>
        <w:t>本年度学校与四川省</w:t>
      </w:r>
      <w:r>
        <w:rPr>
          <w:rFonts w:hint="eastAsia"/>
          <w:color w:val="auto"/>
          <w:sz w:val="28"/>
          <w:szCs w:val="28"/>
        </w:rPr>
        <w:t>陶行知教育研究会、四川烹饪协会、四川省旅游学校、成都汽车职业技术学校、成都职业学院、四川国际标榜职业学院等1</w:t>
      </w:r>
      <w:r>
        <w:rPr>
          <w:color w:val="auto"/>
          <w:sz w:val="28"/>
          <w:szCs w:val="28"/>
        </w:rPr>
        <w:t>0</w:t>
      </w:r>
      <w:r>
        <w:rPr>
          <w:rFonts w:hint="eastAsia"/>
          <w:color w:val="auto"/>
          <w:sz w:val="28"/>
          <w:szCs w:val="28"/>
        </w:rPr>
        <w:t>余家行业协会和知名院校校校（院）、校协（行业协会）合作，签订了战略合作协议，共谋发展。</w:t>
      </w:r>
    </w:p>
    <w:p>
      <w:pPr>
        <w:ind w:firstLine="550" w:firstLineChars="196"/>
        <w:rPr>
          <w:rFonts w:ascii="宋体" w:hAnsi="宋体" w:cs="宋体"/>
          <w:bCs/>
          <w:color w:val="auto"/>
          <w:sz w:val="28"/>
          <w:szCs w:val="28"/>
        </w:rPr>
      </w:pPr>
      <w:r>
        <w:rPr>
          <w:rFonts w:hint="eastAsia" w:ascii="宋体" w:hAnsi="宋体" w:cs="宋体"/>
          <w:b/>
          <w:color w:val="auto"/>
          <w:sz w:val="28"/>
          <w:szCs w:val="28"/>
        </w:rPr>
        <w:t>校校结对帮扶促交流。</w:t>
      </w:r>
      <w:r>
        <w:rPr>
          <w:rFonts w:hint="eastAsia" w:ascii="宋体" w:hAnsi="宋体" w:cs="宋体"/>
          <w:bCs/>
          <w:color w:val="auto"/>
          <w:sz w:val="28"/>
          <w:szCs w:val="28"/>
        </w:rPr>
        <w:t>学校积极加强对外交流与合作，本年度省外与浙江省温州市瓯海职业中专集团学校、瑞安市农业技术学校、台州市三门县技师学院、浙大附中等学校（院）结对，学习沿海先进的管理和教学经验，助推民族职业教育与发达地区接轨；省内与仁寿县第二高级职业中学、眉山技师学院结对帮扶，仁寿县第二高级职业中学派出骨干教师到校支教并向学校援建云教室。</w:t>
      </w:r>
    </w:p>
    <w:p>
      <w:pPr>
        <w:ind w:firstLine="550" w:firstLineChars="196"/>
        <w:rPr>
          <w:rFonts w:ascii="宋体" w:hAnsi="宋体" w:cs="宋体"/>
          <w:bCs/>
          <w:color w:val="000000"/>
          <w:sz w:val="28"/>
          <w:szCs w:val="28"/>
        </w:rPr>
      </w:pPr>
      <w:r>
        <w:rPr>
          <w:rFonts w:hint="eastAsia" w:ascii="宋体" w:hAnsi="宋体" w:cs="宋体"/>
          <w:b/>
          <w:color w:val="000000"/>
          <w:sz w:val="28"/>
          <w:szCs w:val="28"/>
        </w:rPr>
        <w:t>深化校地合作办学。</w:t>
      </w:r>
      <w:r>
        <w:rPr>
          <w:rFonts w:hint="eastAsia" w:ascii="宋体" w:hAnsi="宋体" w:cs="宋体"/>
          <w:bCs/>
          <w:color w:val="000000"/>
          <w:sz w:val="28"/>
          <w:szCs w:val="28"/>
        </w:rPr>
        <w:t>本年度学校与壤塘县人民政府签订校地合作协议，创新教学模式，采取文化课程集中学习，技能课程分散到各非遗传习所由专业大师传授的方式，共同培养壤巴拉非遗唐卡、藏式制陶、藏族歌舞专业人才。</w:t>
      </w:r>
    </w:p>
    <w:p>
      <w:pPr>
        <w:ind w:firstLine="550" w:firstLineChars="196"/>
        <w:rPr>
          <w:rFonts w:ascii="楷体" w:hAnsi="楷体" w:eastAsia="楷体" w:cs="楷体"/>
          <w:b/>
          <w:color w:val="000000"/>
          <w:sz w:val="28"/>
          <w:szCs w:val="28"/>
        </w:rPr>
      </w:pPr>
      <w:r>
        <w:rPr>
          <w:rFonts w:hint="eastAsia" w:ascii="楷体" w:hAnsi="楷体" w:eastAsia="楷体" w:cs="楷体"/>
          <w:b/>
          <w:color w:val="000000"/>
          <w:sz w:val="28"/>
          <w:szCs w:val="28"/>
        </w:rPr>
        <w:t>【案例】州中职校与壤塘县“校地合作”艺术班开班</w:t>
      </w:r>
    </w:p>
    <w:p>
      <w:pPr>
        <w:ind w:firstLine="548" w:firstLineChars="196"/>
        <w:jc w:val="left"/>
        <w:rPr>
          <w:rFonts w:ascii="楷体" w:hAnsi="楷体" w:eastAsia="楷体" w:cs="楷体"/>
          <w:bCs/>
          <w:color w:val="000000"/>
          <w:sz w:val="28"/>
          <w:szCs w:val="28"/>
        </w:rPr>
      </w:pPr>
      <w:r>
        <w:rPr>
          <w:rFonts w:hint="eastAsia" w:ascii="楷体" w:hAnsi="楷体" w:eastAsia="楷体" w:cs="楷体"/>
          <w:bCs/>
          <w:color w:val="000000"/>
          <w:sz w:val="28"/>
          <w:szCs w:val="28"/>
        </w:rPr>
        <w:t>为落实今年4月学校与壤塘县达成的“开展校地合作，促进产教融合，做强文化产业，打开非遗市场”共识，推进与壤塘县非遗传承合作办学，2019年10月初首批校地合作艺术班正式开班。壤塘县委常委、工会主席钟晓蓉同志带队将校地合作艺术班的55名同学送到州中职校入学。</w:t>
      </w:r>
    </w:p>
    <w:p>
      <w:pPr>
        <w:ind w:firstLine="548" w:firstLineChars="196"/>
        <w:rPr>
          <w:rFonts w:ascii="楷体" w:hAnsi="楷体" w:eastAsia="楷体" w:cs="楷体"/>
          <w:bCs/>
          <w:color w:val="000000"/>
          <w:sz w:val="28"/>
          <w:szCs w:val="28"/>
        </w:rPr>
      </w:pPr>
      <w:r>
        <w:rPr>
          <w:rFonts w:hint="eastAsia" w:ascii="楷体" w:hAnsi="楷体" w:eastAsia="楷体" w:cs="楷体"/>
          <w:bCs/>
          <w:color w:val="000000"/>
          <w:sz w:val="28"/>
          <w:szCs w:val="28"/>
        </w:rPr>
        <w:drawing>
          <wp:inline distT="0" distB="0" distL="114300" distR="114300">
            <wp:extent cx="2548890" cy="1640205"/>
            <wp:effectExtent l="0" t="0" r="3810" b="17145"/>
            <wp:docPr id="17" name="图片 17" descr="微信图片_201912101539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微信图片_20191210153923"/>
                    <pic:cNvPicPr>
                      <a:picLocks noChangeAspect="true"/>
                    </pic:cNvPicPr>
                  </pic:nvPicPr>
                  <pic:blipFill>
                    <a:blip r:embed="rId36"/>
                    <a:stretch>
                      <a:fillRect/>
                    </a:stretch>
                  </pic:blipFill>
                  <pic:spPr>
                    <a:xfrm>
                      <a:off x="0" y="0"/>
                      <a:ext cx="2548890" cy="1640205"/>
                    </a:xfrm>
                    <a:prstGeom prst="rect">
                      <a:avLst/>
                    </a:prstGeom>
                  </pic:spPr>
                </pic:pic>
              </a:graphicData>
            </a:graphic>
          </wp:inline>
        </w:drawing>
      </w:r>
      <w:r>
        <w:rPr>
          <w:rFonts w:hint="eastAsia" w:ascii="楷体" w:hAnsi="楷体" w:eastAsia="楷体" w:cs="楷体"/>
          <w:bCs/>
          <w:color w:val="000000"/>
          <w:sz w:val="28"/>
          <w:szCs w:val="28"/>
        </w:rPr>
        <w:t xml:space="preserve"> </w:t>
      </w:r>
      <w:r>
        <w:rPr>
          <w:rFonts w:hint="eastAsia" w:ascii="楷体" w:hAnsi="楷体" w:eastAsia="楷体" w:cs="楷体"/>
          <w:bCs/>
          <w:color w:val="000000"/>
          <w:sz w:val="28"/>
          <w:szCs w:val="28"/>
        </w:rPr>
        <w:drawing>
          <wp:inline distT="0" distB="0" distL="114300" distR="114300">
            <wp:extent cx="2595245" cy="1633220"/>
            <wp:effectExtent l="0" t="0" r="14605" b="5080"/>
            <wp:docPr id="16" name="图片 16" descr="微信图片_201912101539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微信图片_20191210153936"/>
                    <pic:cNvPicPr>
                      <a:picLocks noChangeAspect="true"/>
                    </pic:cNvPicPr>
                  </pic:nvPicPr>
                  <pic:blipFill>
                    <a:blip r:embed="rId37"/>
                    <a:stretch>
                      <a:fillRect/>
                    </a:stretch>
                  </pic:blipFill>
                  <pic:spPr>
                    <a:xfrm>
                      <a:off x="0" y="0"/>
                      <a:ext cx="2595245" cy="1633220"/>
                    </a:xfrm>
                    <a:prstGeom prst="rect">
                      <a:avLst/>
                    </a:prstGeom>
                  </pic:spPr>
                </pic:pic>
              </a:graphicData>
            </a:graphic>
          </wp:inline>
        </w:drawing>
      </w:r>
    </w:p>
    <w:p/>
    <w:p>
      <w:pPr>
        <w:ind w:firstLine="548" w:firstLineChars="196"/>
        <w:rPr>
          <w:rFonts w:ascii="楷体" w:hAnsi="楷体" w:eastAsia="楷体" w:cs="楷体"/>
          <w:bCs/>
          <w:color w:val="000000"/>
          <w:sz w:val="28"/>
          <w:szCs w:val="28"/>
        </w:rPr>
      </w:pPr>
      <w:r>
        <w:rPr>
          <w:rFonts w:hint="eastAsia" w:ascii="楷体" w:hAnsi="楷体" w:eastAsia="楷体" w:cs="楷体"/>
          <w:bCs/>
          <w:color w:val="000000"/>
          <w:sz w:val="28"/>
          <w:szCs w:val="28"/>
        </w:rPr>
        <w:t>10月10日上午，秋桑副书记主持了校地合作艺术班的开学典礼，校团委书记胡旭致欢迎辞，秋桑副书记介绍了校情，教务处鄢泽兵处长解读教学实施方案，学生处牟子亮老师讲解了学生管理常规，最后，钟晓蓉主席作了重要讲话，她对艺术班的同学提出了要求，寄予厚望，殷切希望艺术班的同学尽快转换角色，严格遵守学校规章制度，刻苦学习，做一个“干净”“聪明”“团结”的人。学校教务处鄢泽兵处长、学生处牟子亮老师，分别对艺术班学习、生活作了详细安排，对学生纪律、日常管理、学籍管理、常规管理等提出了具体要求，帮助艺术班的同学能更好更快地融入到学校的学习与生活中。</w:t>
      </w:r>
    </w:p>
    <w:p>
      <w:pPr>
        <w:ind w:firstLine="548" w:firstLineChars="196"/>
        <w:rPr>
          <w:rFonts w:ascii="楷体" w:hAnsi="楷体" w:eastAsia="楷体" w:cs="楷体"/>
          <w:bCs/>
          <w:color w:val="000000"/>
          <w:sz w:val="28"/>
          <w:szCs w:val="28"/>
        </w:rPr>
      </w:pPr>
      <w:r>
        <w:rPr>
          <w:rFonts w:hint="eastAsia" w:ascii="楷体" w:hAnsi="楷体" w:eastAsia="楷体" w:cs="楷体"/>
          <w:bCs/>
          <w:color w:val="000000"/>
          <w:sz w:val="28"/>
          <w:szCs w:val="28"/>
        </w:rPr>
        <w:t>开学典礼后，在秋桑副书记和教务处、学生处等部门老师的陪同下，钟晓蓉主席一行与艺术班的55名同学参观了校园环境和藏兽医等实训室。当日下午，学生处组织教官指导新同学进行内务整理，晚上班主任组织召开了主题班会，进行新生学前教育。</w:t>
      </w:r>
    </w:p>
    <w:p>
      <w:pPr>
        <w:ind w:firstLine="548" w:firstLineChars="196"/>
        <w:rPr>
          <w:rFonts w:ascii="楷体" w:hAnsi="楷体" w:eastAsia="楷体" w:cs="楷体"/>
          <w:bCs/>
          <w:color w:val="000000"/>
          <w:sz w:val="28"/>
          <w:szCs w:val="28"/>
        </w:rPr>
      </w:pPr>
      <w:r>
        <w:rPr>
          <w:rFonts w:hint="eastAsia" w:ascii="楷体" w:hAnsi="楷体" w:eastAsia="楷体" w:cs="楷体"/>
          <w:bCs/>
          <w:color w:val="000000"/>
          <w:sz w:val="28"/>
          <w:szCs w:val="28"/>
        </w:rPr>
        <w:t xml:space="preserve"> 10月11日学生处开展了队列队形和常规训练，教务处进行了文化课（语文、数学、英语）综合入学测试和藏语入学测试，通过摸底以利教师更好地因材施教。</w:t>
      </w:r>
    </w:p>
    <w:p>
      <w:pPr>
        <w:ind w:firstLine="560" w:firstLineChars="200"/>
        <w:rPr>
          <w:rFonts w:ascii="楷体" w:hAnsi="楷体" w:eastAsia="楷体" w:cs="楷体"/>
          <w:sz w:val="28"/>
          <w:szCs w:val="28"/>
        </w:rPr>
      </w:pPr>
      <w:r>
        <w:rPr>
          <w:rFonts w:hint="eastAsia" w:ascii="楷体" w:hAnsi="楷体" w:eastAsia="楷体" w:cs="楷体"/>
          <w:bCs/>
          <w:color w:val="000000"/>
          <w:sz w:val="28"/>
          <w:szCs w:val="28"/>
        </w:rPr>
        <w:t>学校将针对校地合作艺术班的实际，合理设置专业课程，夯实教育教学基础，加强普通话教学、爱国主义、民族团结进步、法制和日常行为规范的教育，强化学生管理，多措并举提升教育教学质量，为传承壤巴拉非物质文化遗产、促进农牧民富民增收作应有贡献，为校地战略合作掀开崭</w:t>
      </w:r>
      <w:r>
        <w:rPr>
          <w:rFonts w:hint="eastAsia" w:ascii="楷体" w:hAnsi="楷体" w:eastAsia="楷体" w:cs="楷体"/>
          <w:sz w:val="28"/>
          <w:szCs w:val="28"/>
        </w:rPr>
        <w:t>新一页。</w:t>
      </w:r>
    </w:p>
    <w:p>
      <w:pPr>
        <w:ind w:firstLine="562" w:firstLineChars="200"/>
        <w:rPr>
          <w:rFonts w:ascii="黑体" w:hAnsi="黑体" w:eastAsia="黑体" w:cs="黑体"/>
          <w:b/>
          <w:bCs/>
          <w:sz w:val="28"/>
          <w:szCs w:val="28"/>
        </w:rPr>
      </w:pPr>
      <w:bookmarkStart w:id="83" w:name="_Toc23475"/>
      <w:bookmarkStart w:id="84" w:name="_Toc531602443"/>
      <w:bookmarkStart w:id="85" w:name="_Toc531602791"/>
      <w:bookmarkStart w:id="86" w:name="_Toc531679166"/>
      <w:r>
        <w:rPr>
          <w:rFonts w:hint="eastAsia" w:ascii="黑体" w:hAnsi="黑体" w:eastAsia="黑体" w:cs="黑体"/>
          <w:b/>
          <w:bCs/>
          <w:sz w:val="28"/>
          <w:szCs w:val="28"/>
        </w:rPr>
        <w:t>4.2 学生实习情况</w:t>
      </w:r>
      <w:bookmarkEnd w:id="83"/>
      <w:r>
        <w:rPr>
          <w:rFonts w:hint="eastAsia" w:ascii="黑体" w:hAnsi="黑体" w:eastAsia="黑体" w:cs="黑体"/>
          <w:b/>
          <w:bCs/>
          <w:sz w:val="28"/>
          <w:szCs w:val="28"/>
        </w:rPr>
        <w:t>：</w:t>
      </w:r>
      <w:bookmarkEnd w:id="84"/>
      <w:bookmarkEnd w:id="85"/>
      <w:bookmarkEnd w:id="86"/>
      <w:r>
        <w:rPr>
          <w:rFonts w:hint="eastAsia" w:ascii="黑体" w:hAnsi="黑体" w:eastAsia="黑体" w:cs="黑体"/>
          <w:b/>
          <w:bCs/>
          <w:sz w:val="28"/>
          <w:szCs w:val="28"/>
        </w:rPr>
        <w:t>落实管理规定 实习有序开展</w:t>
      </w:r>
    </w:p>
    <w:p>
      <w:pPr>
        <w:ind w:firstLine="560" w:firstLineChars="200"/>
        <w:rPr>
          <w:rFonts w:ascii="宋体" w:hAnsi="宋体" w:cs="宋体"/>
          <w:sz w:val="28"/>
          <w:szCs w:val="28"/>
        </w:rPr>
      </w:pPr>
      <w:r>
        <w:rPr>
          <w:rFonts w:hint="eastAsia" w:ascii="宋体" w:hAnsi="宋体" w:cs="宋体"/>
          <w:sz w:val="28"/>
          <w:szCs w:val="28"/>
        </w:rPr>
        <w:t>学校严格按照教育部《职业学校学生实习管理规定》，有序组织开展学生实习工作。</w:t>
      </w:r>
    </w:p>
    <w:p>
      <w:pPr>
        <w:ind w:firstLine="560" w:firstLineChars="200"/>
        <w:rPr>
          <w:rFonts w:ascii="宋体" w:hAnsi="宋体" w:cs="宋体"/>
          <w:sz w:val="28"/>
          <w:szCs w:val="28"/>
        </w:rPr>
      </w:pPr>
      <w:r>
        <w:rPr>
          <w:rFonts w:hint="eastAsia" w:ascii="宋体" w:hAnsi="宋体" w:cs="宋体"/>
          <w:sz w:val="28"/>
          <w:szCs w:val="28"/>
        </w:rPr>
        <w:t>本年度学校生均认识实习时长15天，生均跟岗实习时长90天，生均顶岗实习时长180天，与上年安排一致。学生跟岗实习对口率90%，较上年提升10%；顶岗实习对口率80.06%。合作企业接收学生就业比例40%</w:t>
      </w:r>
      <w:bookmarkStart w:id="87" w:name="_Toc489899587"/>
      <w:r>
        <w:rPr>
          <w:rFonts w:hint="eastAsia" w:ascii="宋体" w:hAnsi="宋体" w:cs="宋体"/>
          <w:sz w:val="28"/>
          <w:szCs w:val="28"/>
        </w:rPr>
        <w:t>。企业对学生跟岗实习考核结果合格比例达到97.6%。</w:t>
      </w:r>
    </w:p>
    <w:p>
      <w:pPr>
        <w:spacing w:before="158" w:beforeLines="50"/>
        <w:jc w:val="center"/>
      </w:pPr>
    </w:p>
    <w:p>
      <w:pPr>
        <w:jc w:val="center"/>
        <w:rPr>
          <w:rFonts w:ascii="黑体" w:hAnsi="黑体" w:eastAsia="黑体" w:cs="黑体"/>
          <w:b/>
          <w:color w:val="000000"/>
          <w:sz w:val="30"/>
          <w:szCs w:val="30"/>
        </w:rPr>
      </w:pPr>
      <w:r>
        <w:rPr>
          <w:rFonts w:ascii="宋体" w:hAnsi="宋体" w:cs="宋体"/>
          <w:color w:val="000000"/>
          <w:sz w:val="28"/>
          <w:szCs w:val="28"/>
        </w:rPr>
        <w:drawing>
          <wp:inline distT="0" distB="0" distL="114300" distR="114300">
            <wp:extent cx="5595620" cy="2296160"/>
            <wp:effectExtent l="0" t="0" r="5080" b="889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hint="eastAsia" w:cs="黑体" w:asciiTheme="minorEastAsia" w:hAnsiTheme="minorEastAsia" w:eastAsiaTheme="minorEastAsia"/>
          <w:b/>
          <w:sz w:val="28"/>
          <w:szCs w:val="28"/>
        </w:rPr>
        <w:t>图4-1 2019年企业对学生实习考核结果图示</w:t>
      </w:r>
    </w:p>
    <w:p/>
    <w:p>
      <w:pPr>
        <w:pStyle w:val="3"/>
        <w:ind w:firstLine="562"/>
        <w:rPr>
          <w:rFonts w:cs="黑体" w:asciiTheme="minorEastAsia" w:hAnsiTheme="minorEastAsia"/>
          <w:szCs w:val="30"/>
        </w:rPr>
      </w:pPr>
      <w:bookmarkStart w:id="88" w:name="_Toc531602444"/>
      <w:bookmarkStart w:id="89" w:name="_Toc531602792"/>
      <w:bookmarkStart w:id="90" w:name="_Toc531679167"/>
      <w:bookmarkStart w:id="91" w:name="_Toc26428"/>
      <w:r>
        <w:rPr>
          <w:rFonts w:hint="eastAsia" w:ascii="黑体" w:hAnsi="黑体"/>
        </w:rPr>
        <w:t>4.3</w:t>
      </w:r>
      <w:r>
        <w:rPr>
          <w:rFonts w:hint="eastAsia"/>
        </w:rPr>
        <w:t>集团化办学情况：</w:t>
      </w:r>
      <w:bookmarkEnd w:id="88"/>
      <w:bookmarkEnd w:id="89"/>
      <w:bookmarkEnd w:id="90"/>
      <w:bookmarkStart w:id="92" w:name="_Toc531602445"/>
      <w:bookmarkStart w:id="93" w:name="_Toc531591360"/>
      <w:bookmarkStart w:id="94" w:name="_Toc531679168"/>
      <w:bookmarkStart w:id="95" w:name="_Toc531602793"/>
      <w:bookmarkStart w:id="96" w:name="_Toc531192668"/>
      <w:bookmarkStart w:id="97" w:name="_Toc531634428"/>
      <w:r>
        <w:rPr>
          <w:rFonts w:hint="eastAsia"/>
        </w:rPr>
        <w:t>发挥集团优势 实现资源共享</w:t>
      </w:r>
    </w:p>
    <w:p>
      <w:pPr>
        <w:ind w:firstLine="560" w:firstLineChars="200"/>
        <w:outlineLvl w:val="0"/>
        <w:rPr>
          <w:rFonts w:ascii="黑体" w:hAnsi="黑体"/>
        </w:rPr>
      </w:pPr>
      <w:r>
        <w:rPr>
          <w:rFonts w:hint="eastAsia" w:cs="黑体" w:asciiTheme="minorEastAsia" w:hAnsiTheme="minorEastAsia" w:eastAsiaTheme="minorEastAsia"/>
          <w:sz w:val="28"/>
          <w:szCs w:val="30"/>
        </w:rPr>
        <w:t>学校加入了成都农业科技职业学院成立的“四川现代农业职业教育集团”，遵循统一章程，承担应尽的责任和义务，实现集团成员之间的资源共享、优势互补、互惠互利、共同发展。</w:t>
      </w:r>
      <w:bookmarkEnd w:id="92"/>
      <w:bookmarkEnd w:id="93"/>
      <w:bookmarkEnd w:id="94"/>
      <w:bookmarkEnd w:id="95"/>
      <w:bookmarkEnd w:id="96"/>
      <w:bookmarkEnd w:id="97"/>
      <w:bookmarkStart w:id="98" w:name="_Toc531602446"/>
      <w:bookmarkStart w:id="99" w:name="_Toc531679169"/>
      <w:bookmarkStart w:id="100" w:name="_Toc531602794"/>
    </w:p>
    <w:p>
      <w:pPr>
        <w:pStyle w:val="2"/>
        <w:ind w:firstLine="602"/>
        <w:rPr>
          <w:rFonts w:ascii="黑体" w:hAnsi="黑体"/>
        </w:rPr>
      </w:pPr>
      <w:r>
        <w:rPr>
          <w:rFonts w:ascii="黑体" w:hAnsi="黑体"/>
        </w:rPr>
        <w:t>5.社会贡献</w:t>
      </w:r>
      <w:bookmarkEnd w:id="87"/>
      <w:bookmarkEnd w:id="91"/>
      <w:bookmarkEnd w:id="98"/>
      <w:bookmarkEnd w:id="99"/>
      <w:bookmarkEnd w:id="100"/>
    </w:p>
    <w:p>
      <w:pPr>
        <w:pStyle w:val="3"/>
        <w:ind w:firstLine="562"/>
      </w:pPr>
      <w:bookmarkStart w:id="101" w:name="_Toc26966"/>
      <w:bookmarkStart w:id="102" w:name="_Toc531602795"/>
      <w:bookmarkStart w:id="103" w:name="_Toc531679170"/>
      <w:bookmarkStart w:id="104" w:name="_Toc531602447"/>
      <w:r>
        <w:rPr>
          <w:rFonts w:ascii="黑体" w:hAnsi="黑体"/>
        </w:rPr>
        <w:t>5.1</w:t>
      </w:r>
      <w:r>
        <w:t>人才培养</w:t>
      </w:r>
      <w:bookmarkEnd w:id="101"/>
      <w:r>
        <w:rPr>
          <w:rFonts w:hint="eastAsia"/>
        </w:rPr>
        <w:t>：</w:t>
      </w:r>
      <w:bookmarkEnd w:id="102"/>
      <w:bookmarkEnd w:id="103"/>
      <w:bookmarkEnd w:id="104"/>
      <w:r>
        <w:rPr>
          <w:rFonts w:hint="eastAsia"/>
        </w:rPr>
        <w:t>发挥基地效应 服务地方经济社会发展</w:t>
      </w:r>
    </w:p>
    <w:p>
      <w:pPr>
        <w:ind w:firstLine="560" w:firstLineChars="200"/>
        <w:rPr>
          <w:rFonts w:ascii="宋体" w:hAnsi="宋体" w:cs="宋体"/>
          <w:sz w:val="28"/>
          <w:szCs w:val="28"/>
        </w:rPr>
      </w:pPr>
      <w:bookmarkStart w:id="105" w:name="_Toc8982"/>
      <w:bookmarkStart w:id="106" w:name="_Toc531602448"/>
      <w:bookmarkStart w:id="107" w:name="_Toc531602796"/>
      <w:bookmarkStart w:id="108" w:name="_Toc531679171"/>
      <w:r>
        <w:rPr>
          <w:rFonts w:hint="eastAsia" w:ascii="宋体" w:hAnsi="宋体" w:cs="宋体"/>
          <w:sz w:val="28"/>
          <w:szCs w:val="28"/>
        </w:rPr>
        <w:t>学校作为阿坝州技能型人才培养基地，立足服务地方经济社会发展，已累计为社会培养了3万余名毕业生，大部分已成为行业、企业的业务骨干、技术标兵、行家里手。学校同时充分利用自身资源积极为企事业单位、社会提供技术支持和培训服务，是大学毕业生专业转换与技能提升定点培训机构，是省委、省政府确定的“四川省省级劳务培训基地”“四川省高技能人才培训基地”；是阿坝州旅游从业人员培训基地、新进事业单位工作人员岗前培训基地、实用技术人才培训基地，年均培训量3000人次以上。</w:t>
      </w:r>
    </w:p>
    <w:p>
      <w:pPr>
        <w:ind w:firstLine="560" w:firstLineChars="200"/>
        <w:rPr>
          <w:rFonts w:ascii="宋体" w:hAnsi="宋体" w:cs="宋体"/>
          <w:sz w:val="28"/>
          <w:szCs w:val="28"/>
        </w:rPr>
      </w:pPr>
      <w:r>
        <w:rPr>
          <w:rFonts w:hint="eastAsia" w:ascii="宋体" w:hAnsi="宋体" w:cs="宋体"/>
          <w:sz w:val="28"/>
          <w:szCs w:val="28"/>
        </w:rPr>
        <w:t>学校结合州情和社会需求，抓好成人教育和技能培训。与四川农业大学联合举办大专、本科学历教育，充分发挥省、州培训基地作用，举办了农村“精准扶贫”培训、乡村旅游培训、新型职业农民培训、新型职业农民经营主体培训等，全年培训各类实用技术人员2000余人。</w:t>
      </w:r>
    </w:p>
    <w:p>
      <w:pPr>
        <w:pStyle w:val="3"/>
        <w:ind w:firstLine="562"/>
      </w:pPr>
      <w:r>
        <w:rPr>
          <w:rFonts w:ascii="黑体" w:hAnsi="黑体"/>
        </w:rPr>
        <w:t>5.2</w:t>
      </w:r>
      <w:r>
        <w:t>社会服务</w:t>
      </w:r>
      <w:bookmarkEnd w:id="105"/>
      <w:r>
        <w:rPr>
          <w:rFonts w:hint="eastAsia"/>
        </w:rPr>
        <w:t>：以服务产业发展为宗旨 提升社会服务能力</w:t>
      </w:r>
      <w:bookmarkEnd w:id="106"/>
      <w:bookmarkEnd w:id="107"/>
      <w:bookmarkEnd w:id="108"/>
    </w:p>
    <w:p>
      <w:pPr>
        <w:ind w:firstLine="560"/>
        <w:rPr>
          <w:rFonts w:ascii="宋体" w:hAnsi="宋体" w:cs="宋体"/>
          <w:sz w:val="28"/>
          <w:szCs w:val="28"/>
        </w:rPr>
      </w:pPr>
      <w:bookmarkStart w:id="109" w:name="_Toc27418"/>
      <w:bookmarkStart w:id="110" w:name="_Toc531602797"/>
      <w:bookmarkStart w:id="111" w:name="_Toc531679172"/>
      <w:bookmarkStart w:id="112" w:name="_Toc531602449"/>
      <w:r>
        <w:rPr>
          <w:rFonts w:hint="eastAsia" w:ascii="宋体" w:hAnsi="宋体" w:cs="宋体"/>
          <w:sz w:val="28"/>
          <w:szCs w:val="28"/>
        </w:rPr>
        <w:t>学校始终以服务产业发展为宗旨，以旅游富民、惠民为导向，从增强服务意识、建设服务队伍、拓展服务领域、创新服务机制等方面，不断提升学校的社会服务能力。</w:t>
      </w:r>
    </w:p>
    <w:p>
      <w:pPr>
        <w:ind w:firstLine="560"/>
        <w:rPr>
          <w:rFonts w:ascii="宋体" w:hAnsi="宋体" w:cs="宋体"/>
          <w:sz w:val="28"/>
          <w:szCs w:val="28"/>
        </w:rPr>
      </w:pPr>
      <w:r>
        <w:rPr>
          <w:rFonts w:hint="eastAsia" w:ascii="宋体" w:hAnsi="宋体" w:cs="宋体"/>
          <w:sz w:val="28"/>
          <w:szCs w:val="28"/>
        </w:rPr>
        <w:t>本年度学校共面向阿坝州当地组织社会培训6次，培训内容覆盖农业技能、刺绣、旅游等方面，合计培训人数1351人。具体培训情况见表5-1。</w:t>
      </w:r>
    </w:p>
    <w:p>
      <w:pPr>
        <w:jc w:val="center"/>
        <w:rPr>
          <w:rFonts w:ascii="宋体" w:hAnsi="宋体" w:cs="宋体"/>
          <w:b/>
          <w:bCs/>
          <w:sz w:val="28"/>
          <w:szCs w:val="28"/>
        </w:rPr>
      </w:pPr>
      <w:r>
        <w:rPr>
          <w:rFonts w:hint="eastAsia" w:ascii="宋体" w:hAnsi="宋体" w:cs="宋体"/>
          <w:b/>
          <w:bCs/>
          <w:sz w:val="28"/>
          <w:szCs w:val="28"/>
        </w:rPr>
        <w:t>表5-1 2019年学校开展社会培训活动统计表</w:t>
      </w:r>
    </w:p>
    <w:tbl>
      <w:tblPr>
        <w:tblStyle w:val="12"/>
        <w:tblW w:w="889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89"/>
        <w:gridCol w:w="2617"/>
        <w:gridCol w:w="4116"/>
        <w:gridCol w:w="137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jc w:val="center"/>
        </w:trPr>
        <w:tc>
          <w:tcPr>
            <w:tcW w:w="789" w:type="dxa"/>
            <w:tcBorders>
              <w:top w:val="single" w:color="000000" w:sz="8" w:space="0"/>
              <w:left w:val="single" w:color="000000" w:sz="8" w:space="0"/>
              <w:bottom w:val="single" w:color="000000" w:sz="8" w:space="0"/>
              <w:right w:val="single" w:color="000000" w:sz="8" w:space="0"/>
            </w:tcBorders>
            <w:shd w:val="clear" w:color="auto" w:fill="4F81BD" w:themeFill="accent1"/>
          </w:tcPr>
          <w:p>
            <w:pPr>
              <w:autoSpaceDE w:val="0"/>
              <w:autoSpaceDN w:val="0"/>
              <w:adjustRightInd w:val="0"/>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序号</w:t>
            </w:r>
          </w:p>
        </w:tc>
        <w:tc>
          <w:tcPr>
            <w:tcW w:w="2617" w:type="dxa"/>
            <w:tcBorders>
              <w:top w:val="single" w:color="000000" w:sz="8" w:space="0"/>
              <w:left w:val="single" w:color="000000" w:sz="8" w:space="0"/>
              <w:bottom w:val="single" w:color="000000" w:sz="8" w:space="0"/>
              <w:right w:val="single" w:color="000000" w:sz="8" w:space="0"/>
            </w:tcBorders>
            <w:shd w:val="clear" w:color="auto" w:fill="4F81BD" w:themeFill="accent1"/>
          </w:tcPr>
          <w:p>
            <w:pPr>
              <w:autoSpaceDE w:val="0"/>
              <w:autoSpaceDN w:val="0"/>
              <w:adjustRightInd w:val="0"/>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培训时间</w:t>
            </w:r>
          </w:p>
        </w:tc>
        <w:tc>
          <w:tcPr>
            <w:tcW w:w="4116" w:type="dxa"/>
            <w:tcBorders>
              <w:top w:val="single" w:color="000000" w:sz="8" w:space="0"/>
              <w:left w:val="single" w:color="000000" w:sz="8" w:space="0"/>
              <w:bottom w:val="single" w:color="000000" w:sz="8" w:space="0"/>
              <w:right w:val="single" w:color="000000" w:sz="8" w:space="0"/>
            </w:tcBorders>
            <w:shd w:val="clear" w:color="auto" w:fill="4F81BD" w:themeFill="accent1"/>
          </w:tcPr>
          <w:p>
            <w:pPr>
              <w:autoSpaceDE w:val="0"/>
              <w:autoSpaceDN w:val="0"/>
              <w:adjustRightInd w:val="0"/>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培训主题</w:t>
            </w:r>
          </w:p>
        </w:tc>
        <w:tc>
          <w:tcPr>
            <w:tcW w:w="1371" w:type="dxa"/>
            <w:tcBorders>
              <w:top w:val="single" w:color="000000" w:sz="8" w:space="0"/>
              <w:left w:val="single" w:color="000000" w:sz="8" w:space="0"/>
              <w:bottom w:val="single" w:color="000000" w:sz="8" w:space="0"/>
              <w:right w:val="single" w:color="000000" w:sz="8" w:space="0"/>
            </w:tcBorders>
            <w:shd w:val="clear" w:color="auto" w:fill="4F81BD" w:themeFill="accent1"/>
          </w:tcPr>
          <w:p>
            <w:pPr>
              <w:autoSpaceDE w:val="0"/>
              <w:autoSpaceDN w:val="0"/>
              <w:adjustRightInd w:val="0"/>
              <w:spacing w:line="360" w:lineRule="auto"/>
              <w:jc w:val="center"/>
              <w:rPr>
                <w:rFonts w:ascii="宋体" w:hAnsi="宋体"/>
                <w:b/>
                <w:color w:val="FFFFFF" w:themeColor="background1"/>
                <w:sz w:val="24"/>
                <w14:textFill>
                  <w14:solidFill>
                    <w14:schemeClr w14:val="bg1"/>
                  </w14:solidFill>
                </w14:textFill>
              </w:rPr>
            </w:pPr>
            <w:r>
              <w:rPr>
                <w:rFonts w:hint="eastAsia" w:ascii="宋体" w:hAnsi="宋体"/>
                <w:b/>
                <w:color w:val="FFFFFF" w:themeColor="background1"/>
                <w:sz w:val="24"/>
                <w14:textFill>
                  <w14:solidFill>
                    <w14:schemeClr w14:val="bg1"/>
                  </w14:solidFill>
                </w14:textFill>
              </w:rPr>
              <w:t>参培人次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54" w:hRule="exact"/>
          <w:jc w:val="center"/>
        </w:trPr>
        <w:tc>
          <w:tcPr>
            <w:tcW w:w="7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1</w:t>
            </w:r>
          </w:p>
        </w:tc>
        <w:tc>
          <w:tcPr>
            <w:tcW w:w="26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9月16日—11月17日</w:t>
            </w:r>
          </w:p>
        </w:tc>
        <w:tc>
          <w:tcPr>
            <w:tcW w:w="4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九寨沟县旅游基层从业人员培训</w:t>
            </w:r>
          </w:p>
        </w:tc>
        <w:tc>
          <w:tcPr>
            <w:tcW w:w="13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120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4" w:hRule="exact"/>
          <w:jc w:val="center"/>
        </w:trPr>
        <w:tc>
          <w:tcPr>
            <w:tcW w:w="7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2</w:t>
            </w:r>
          </w:p>
        </w:tc>
        <w:tc>
          <w:tcPr>
            <w:tcW w:w="26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9月16日－9月20日</w:t>
            </w:r>
          </w:p>
        </w:tc>
        <w:tc>
          <w:tcPr>
            <w:tcW w:w="4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阿坝州深度贫困县“一村一名农技员”提能培训</w:t>
            </w:r>
          </w:p>
        </w:tc>
        <w:tc>
          <w:tcPr>
            <w:tcW w:w="13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199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54" w:hRule="exact"/>
          <w:jc w:val="center"/>
        </w:trPr>
        <w:tc>
          <w:tcPr>
            <w:tcW w:w="7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3</w:t>
            </w:r>
          </w:p>
        </w:tc>
        <w:tc>
          <w:tcPr>
            <w:tcW w:w="26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10月28日－11月4日</w:t>
            </w:r>
          </w:p>
        </w:tc>
        <w:tc>
          <w:tcPr>
            <w:tcW w:w="4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阿坝州农村实用人才免费定向培训</w:t>
            </w:r>
          </w:p>
        </w:tc>
        <w:tc>
          <w:tcPr>
            <w:tcW w:w="13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183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4" w:hRule="exact"/>
          <w:jc w:val="center"/>
        </w:trPr>
        <w:tc>
          <w:tcPr>
            <w:tcW w:w="7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4</w:t>
            </w:r>
          </w:p>
        </w:tc>
        <w:tc>
          <w:tcPr>
            <w:tcW w:w="26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11月2日－11月6日</w:t>
            </w:r>
          </w:p>
        </w:tc>
        <w:tc>
          <w:tcPr>
            <w:tcW w:w="4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九寨沟县东西部扶贫协作短期刺绣培训</w:t>
            </w:r>
          </w:p>
        </w:tc>
        <w:tc>
          <w:tcPr>
            <w:tcW w:w="13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54" w:hRule="exact"/>
          <w:jc w:val="center"/>
        </w:trPr>
        <w:tc>
          <w:tcPr>
            <w:tcW w:w="7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5</w:t>
            </w:r>
          </w:p>
        </w:tc>
        <w:tc>
          <w:tcPr>
            <w:tcW w:w="26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11月10日—12月3日</w:t>
            </w:r>
          </w:p>
        </w:tc>
        <w:tc>
          <w:tcPr>
            <w:tcW w:w="4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阿坝州基层农技员知识更新培训</w:t>
            </w:r>
          </w:p>
        </w:tc>
        <w:tc>
          <w:tcPr>
            <w:tcW w:w="13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536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exact"/>
          <w:jc w:val="center"/>
        </w:trPr>
        <w:tc>
          <w:tcPr>
            <w:tcW w:w="7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kern w:val="0"/>
                <w:sz w:val="24"/>
                <w:lang w:bidi="ar"/>
              </w:rPr>
              <w:t>6</w:t>
            </w:r>
          </w:p>
        </w:tc>
        <w:tc>
          <w:tcPr>
            <w:tcW w:w="26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11月25日－12月2日</w:t>
            </w:r>
          </w:p>
        </w:tc>
        <w:tc>
          <w:tcPr>
            <w:tcW w:w="41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阿坝州农村实用人才免费定向培训</w:t>
            </w:r>
          </w:p>
        </w:tc>
        <w:tc>
          <w:tcPr>
            <w:tcW w:w="13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bottom"/>
              <w:rPr>
                <w:rFonts w:ascii="宋体" w:hAnsi="宋体" w:cs="宋体"/>
                <w:color w:val="000000"/>
                <w:sz w:val="24"/>
              </w:rPr>
            </w:pPr>
            <w:r>
              <w:rPr>
                <w:rFonts w:hint="eastAsia" w:ascii="宋体" w:hAnsi="宋体" w:cs="宋体"/>
                <w:color w:val="000000"/>
                <w:sz w:val="24"/>
              </w:rPr>
              <w:t>183</w:t>
            </w:r>
          </w:p>
        </w:tc>
      </w:tr>
    </w:tbl>
    <w:p>
      <w:pPr>
        <w:bidi w:val="0"/>
        <w:rPr>
          <w:rFonts w:hint="eastAsia"/>
        </w:rPr>
      </w:pPr>
    </w:p>
    <w:p>
      <w:pPr>
        <w:ind w:firstLine="560" w:firstLineChars="200"/>
        <w:rPr>
          <w:rFonts w:ascii="宋体" w:hAnsi="宋体" w:cs="宋体"/>
          <w:sz w:val="28"/>
          <w:szCs w:val="28"/>
        </w:rPr>
      </w:pPr>
      <w:r>
        <w:rPr>
          <w:rFonts w:hint="eastAsia" w:ascii="宋体" w:hAnsi="宋体" w:cs="宋体"/>
          <w:sz w:val="28"/>
          <w:szCs w:val="28"/>
        </w:rPr>
        <w:t>本年度学校积极组织师生参与当地技术服务86人次，主要提供种养殖、技术、乡村旅游服务等技术支持。</w:t>
      </w:r>
    </w:p>
    <w:p>
      <w:pPr>
        <w:pStyle w:val="3"/>
        <w:ind w:firstLine="562"/>
      </w:pPr>
      <w:r>
        <w:rPr>
          <w:rFonts w:ascii="黑体" w:hAnsi="黑体"/>
        </w:rPr>
        <w:t>5.3</w:t>
      </w:r>
      <w:r>
        <w:t>对口支援</w:t>
      </w:r>
      <w:bookmarkEnd w:id="109"/>
      <w:r>
        <w:rPr>
          <w:rFonts w:hint="eastAsia"/>
        </w:rPr>
        <w:t>：</w:t>
      </w:r>
      <w:bookmarkEnd w:id="110"/>
      <w:bookmarkEnd w:id="111"/>
      <w:bookmarkEnd w:id="112"/>
      <w:r>
        <w:rPr>
          <w:rFonts w:hint="eastAsia"/>
        </w:rPr>
        <w:t>深化扶贫工作 脱贫攻坚落在实处</w:t>
      </w:r>
    </w:p>
    <w:p>
      <w:pPr>
        <w:ind w:firstLine="560" w:firstLineChars="200"/>
        <w:rPr>
          <w:rFonts w:ascii="宋体" w:hAnsi="宋体" w:cs="宋体"/>
          <w:sz w:val="28"/>
          <w:szCs w:val="28"/>
        </w:rPr>
      </w:pPr>
      <w:bookmarkStart w:id="113" w:name="_Toc531602798"/>
      <w:bookmarkStart w:id="114" w:name="_Toc531602450"/>
      <w:bookmarkStart w:id="115" w:name="_Toc21235"/>
      <w:bookmarkStart w:id="116" w:name="_Toc489899588"/>
      <w:bookmarkStart w:id="117" w:name="_Toc531679173"/>
      <w:r>
        <w:rPr>
          <w:rFonts w:hint="eastAsia" w:ascii="宋体" w:hAnsi="宋体" w:cs="宋体"/>
          <w:sz w:val="28"/>
          <w:szCs w:val="28"/>
        </w:rPr>
        <w:t>根据州委脱贫攻坚工作要求，按照九寨沟县委、政府关于开展2019年驻村联户扶贫工作的工作部署要求，本年度学校继续结对帮扶九寨沟县马家乡苗州村，在帮扶过程中切实履职尽责，积极配合村“两委”和驻村工作队推进脱贫攻坚，较好地完成年度各项目标任务。</w:t>
      </w:r>
    </w:p>
    <w:p>
      <w:pPr>
        <w:ind w:firstLine="560" w:firstLineChars="200"/>
        <w:rPr>
          <w:rFonts w:ascii="宋体" w:hAnsi="宋体" w:cs="宋体"/>
          <w:sz w:val="28"/>
          <w:szCs w:val="28"/>
        </w:rPr>
      </w:pPr>
      <w:r>
        <w:rPr>
          <w:rFonts w:hint="eastAsia" w:ascii="宋体" w:hAnsi="宋体" w:cs="宋体"/>
          <w:sz w:val="28"/>
          <w:szCs w:val="28"/>
        </w:rPr>
        <w:t>学校领导班子多次到联系村通过入户走访、开座谈会、实地考察等多种形式进行了村情民情调研。参加村两委班子工作推进会，详细听取了党员干部群众对当前重点工作的意见和建议以及村里急需解决的问题；再听取群众对村集体经济发展的看法，坚持问题导向；通过谈心、座谈会等形式与村“两委”班子进行深入的交流，确定今年苗州村主要帮扶方向与措施，制定了《2019年帮扶马家乡苗州村脱贫计划》。</w:t>
      </w:r>
    </w:p>
    <w:p>
      <w:pPr>
        <w:ind w:firstLine="560" w:firstLineChars="200"/>
        <w:rPr>
          <w:rFonts w:ascii="宋体" w:hAnsi="宋体" w:cs="宋体"/>
          <w:sz w:val="28"/>
          <w:szCs w:val="28"/>
        </w:rPr>
      </w:pPr>
      <w:r>
        <w:rPr>
          <w:rFonts w:hint="eastAsia" w:ascii="宋体" w:hAnsi="宋体" w:cs="宋体"/>
          <w:sz w:val="28"/>
          <w:szCs w:val="28"/>
        </w:rPr>
        <w:t>围绕扶贫工作目标和任务，学校聚焦工作重心，有力推进工作落实。一年来共开展了如下工作：①为村委会解决日间照料中心收缩的大帐篷一顶；②学校领导干部积极宣传国家政策、法律法规，解决群众切身困难问题。5名校领导联系每人联系2户贫困户和1个僧人，共计走访30余人次；驻村干部联系贫困户1户、农户2户，该村共有15户贫困户。元旦来临之际，学校准备于2019年12月18日-30日期间，走访，每户贫困户和僧人发放慰问品1桶油、1袋米、1床棉被。共计10000元；③按照乡里的分工要求，驻村干部协助参与村补选村委委员工作，全程参与选举过程和农村环境整治工作；④2019年8月—10月，驻村干部参与州级“两不愁、三保障”回头看大排查交叉检查工作和州级脱贫验收工作；⑤在与群众的交流中，化解矛盾纠纷3起，查找矛盾纠纷，发现苗头性、倾向性的问题，及时解决；⑥学校发挥专业教师技术优势，对发展种植和养殖产业的农户提供技术指导；⑦协助贫困户解决儿子读书问题及其爱人找工作的难题；帮助贫困户马兰干长子哮喘就医问题。</w:t>
      </w:r>
    </w:p>
    <w:p>
      <w:pPr>
        <w:pStyle w:val="2"/>
        <w:ind w:firstLine="602"/>
        <w:rPr>
          <w:rFonts w:ascii="黑体" w:hAnsi="黑体"/>
        </w:rPr>
      </w:pPr>
      <w:r>
        <w:rPr>
          <w:rFonts w:ascii="黑体" w:hAnsi="黑体"/>
        </w:rPr>
        <w:t>6.举办者履责</w:t>
      </w:r>
      <w:bookmarkEnd w:id="113"/>
      <w:bookmarkEnd w:id="114"/>
      <w:bookmarkEnd w:id="115"/>
      <w:bookmarkEnd w:id="116"/>
      <w:bookmarkEnd w:id="117"/>
    </w:p>
    <w:p>
      <w:pPr>
        <w:pStyle w:val="3"/>
        <w:ind w:firstLine="562"/>
        <w:rPr>
          <w:rFonts w:ascii="宋体" w:hAnsi="宋体" w:cs="宋体"/>
          <w:szCs w:val="28"/>
        </w:rPr>
      </w:pPr>
      <w:bookmarkStart w:id="118" w:name="_Toc15532"/>
      <w:bookmarkStart w:id="119" w:name="_Toc531679174"/>
      <w:bookmarkStart w:id="120" w:name="_Toc531602799"/>
      <w:bookmarkStart w:id="121" w:name="_Toc531602451"/>
      <w:r>
        <w:rPr>
          <w:rFonts w:ascii="黑体" w:hAnsi="黑体"/>
        </w:rPr>
        <w:t>6.1</w:t>
      </w:r>
      <w:r>
        <w:t>经费</w:t>
      </w:r>
      <w:bookmarkEnd w:id="118"/>
      <w:r>
        <w:rPr>
          <w:rFonts w:hint="eastAsia"/>
        </w:rPr>
        <w:t>保障：</w:t>
      </w:r>
      <w:bookmarkEnd w:id="119"/>
      <w:bookmarkEnd w:id="120"/>
      <w:bookmarkEnd w:id="121"/>
      <w:r>
        <w:rPr>
          <w:rFonts w:hint="eastAsia"/>
        </w:rPr>
        <w:t>财政经费充足 为办学提供可靠保障</w:t>
      </w:r>
    </w:p>
    <w:p>
      <w:pPr>
        <w:ind w:firstLine="560" w:firstLineChars="200"/>
        <w:rPr>
          <w:rFonts w:ascii="仿宋" w:hAnsi="仿宋" w:eastAsia="仿宋"/>
          <w:color w:val="000000"/>
          <w:sz w:val="28"/>
          <w:szCs w:val="28"/>
        </w:rPr>
      </w:pPr>
      <w:r>
        <w:rPr>
          <w:rFonts w:hint="eastAsia" w:ascii="宋体" w:hAnsi="宋体" w:cs="宋体"/>
          <w:color w:val="000000"/>
          <w:sz w:val="28"/>
          <w:szCs w:val="28"/>
        </w:rPr>
        <w:t>立足国家发展民族地区职业教育的大好机遇，加上学校校址搬迁与创建省示范校的双重机遇与挑战，学校得到了中央与地方的大力支持。学校财政经费充足，为办学提供强有力的保障。本年度</w:t>
      </w:r>
      <w:r>
        <w:rPr>
          <w:rFonts w:hint="eastAsia" w:ascii="宋体" w:hAnsi="宋体" w:cs="宋体"/>
          <w:color w:val="auto"/>
          <w:sz w:val="28"/>
          <w:szCs w:val="28"/>
        </w:rPr>
        <w:t>中央财政投入经费</w:t>
      </w:r>
      <w:r>
        <w:rPr>
          <w:rFonts w:hint="eastAsia" w:ascii="宋体" w:hAnsi="宋体" w:cs="宋体"/>
          <w:color w:val="auto"/>
          <w:sz w:val="28"/>
          <w:szCs w:val="28"/>
          <w:lang w:val="en-US" w:eastAsia="zh-CN"/>
        </w:rPr>
        <w:t>993.47</w:t>
      </w:r>
      <w:r>
        <w:rPr>
          <w:rFonts w:hint="eastAsia" w:ascii="宋体" w:hAnsi="宋体" w:cs="宋体"/>
          <w:color w:val="auto"/>
          <w:sz w:val="28"/>
          <w:szCs w:val="28"/>
        </w:rPr>
        <w:t>万元，</w:t>
      </w:r>
      <w:r>
        <w:rPr>
          <w:rFonts w:hint="eastAsia" w:ascii="宋体" w:hAnsi="宋体" w:cs="宋体"/>
          <w:color w:val="auto"/>
          <w:sz w:val="28"/>
          <w:szCs w:val="28"/>
          <w:lang w:eastAsia="zh-CN"/>
        </w:rPr>
        <w:t>较上年增加</w:t>
      </w:r>
      <w:r>
        <w:rPr>
          <w:rFonts w:hint="eastAsia" w:ascii="宋体" w:hAnsi="宋体" w:cs="宋体"/>
          <w:color w:val="auto"/>
          <w:sz w:val="28"/>
          <w:szCs w:val="28"/>
          <w:lang w:val="en-US" w:eastAsia="zh-CN"/>
        </w:rPr>
        <w:t>334.88万元</w:t>
      </w:r>
      <w:r>
        <w:rPr>
          <w:rFonts w:hint="eastAsia" w:ascii="宋体" w:hAnsi="宋体" w:cs="宋体"/>
          <w:color w:val="auto"/>
          <w:sz w:val="28"/>
          <w:szCs w:val="28"/>
        </w:rPr>
        <w:t>；地方财政投入经费4257.03万元</w:t>
      </w:r>
      <w:r>
        <w:rPr>
          <w:rFonts w:hint="eastAsia" w:ascii="宋体" w:hAnsi="宋体" w:cs="宋体"/>
          <w:color w:val="auto"/>
          <w:sz w:val="28"/>
          <w:szCs w:val="28"/>
          <w:lang w:eastAsia="zh-CN"/>
        </w:rPr>
        <w:t>，较上年增加</w:t>
      </w:r>
      <w:r>
        <w:rPr>
          <w:rFonts w:hint="eastAsia" w:ascii="宋体" w:hAnsi="宋体" w:cs="宋体"/>
          <w:color w:val="auto"/>
          <w:sz w:val="28"/>
          <w:szCs w:val="28"/>
          <w:lang w:val="en-US" w:eastAsia="zh-CN"/>
        </w:rPr>
        <w:t>4129.59万元</w:t>
      </w:r>
      <w:r>
        <w:rPr>
          <w:rFonts w:hint="eastAsia" w:ascii="宋体" w:hAnsi="宋体" w:cs="宋体"/>
          <w:color w:val="auto"/>
          <w:sz w:val="28"/>
          <w:szCs w:val="28"/>
        </w:rPr>
        <w:t>；生均拨款</w:t>
      </w:r>
      <w:r>
        <w:rPr>
          <w:rFonts w:hint="eastAsia" w:ascii="宋体" w:hAnsi="宋体" w:cs="宋体"/>
          <w:color w:val="auto"/>
          <w:sz w:val="28"/>
          <w:szCs w:val="28"/>
          <w:lang w:val="en-US" w:eastAsia="zh-CN"/>
        </w:rPr>
        <w:t>67924</w:t>
      </w:r>
      <w:r>
        <w:rPr>
          <w:rFonts w:hint="eastAsia" w:ascii="宋体" w:hAnsi="宋体" w:cs="宋体"/>
          <w:color w:val="auto"/>
          <w:sz w:val="28"/>
          <w:szCs w:val="28"/>
        </w:rPr>
        <w:t>元。</w:t>
      </w:r>
      <w:r>
        <w:rPr>
          <w:rFonts w:hint="eastAsia" w:ascii="宋体" w:hAnsi="宋体" w:cs="宋体"/>
          <w:color w:val="000000"/>
          <w:sz w:val="28"/>
          <w:szCs w:val="28"/>
        </w:rPr>
        <w:t>学校经费主要用于改善办学条件、教师培训、教学改革、教学科研等方面。</w:t>
      </w:r>
    </w:p>
    <w:p>
      <w:pPr>
        <w:pStyle w:val="3"/>
        <w:ind w:firstLine="562"/>
      </w:pPr>
      <w:bookmarkStart w:id="122" w:name="_Toc14561"/>
      <w:bookmarkStart w:id="123" w:name="_Toc531602800"/>
      <w:bookmarkStart w:id="124" w:name="_Toc531679175"/>
      <w:bookmarkStart w:id="125" w:name="_Toc531602452"/>
      <w:r>
        <w:rPr>
          <w:rFonts w:ascii="黑体" w:hAnsi="黑体"/>
        </w:rPr>
        <w:t>6.2</w:t>
      </w:r>
      <w:r>
        <w:t>政策措施</w:t>
      </w:r>
      <w:bookmarkEnd w:id="122"/>
      <w:r>
        <w:rPr>
          <w:rFonts w:hint="eastAsia"/>
        </w:rPr>
        <w:t>：</w:t>
      </w:r>
      <w:bookmarkEnd w:id="123"/>
      <w:bookmarkEnd w:id="124"/>
      <w:bookmarkEnd w:id="125"/>
      <w:r>
        <w:rPr>
          <w:rFonts w:hint="eastAsia"/>
        </w:rPr>
        <w:t>落实区域政策 坚持依法办学</w:t>
      </w:r>
    </w:p>
    <w:p>
      <w:pPr>
        <w:ind w:firstLine="560" w:firstLineChars="200"/>
        <w:rPr>
          <w:sz w:val="28"/>
          <w:szCs w:val="28"/>
        </w:rPr>
      </w:pPr>
      <w:bookmarkStart w:id="126" w:name="_Toc489899589"/>
      <w:bookmarkStart w:id="127" w:name="_Toc531602453"/>
      <w:bookmarkStart w:id="128" w:name="_Toc531602801"/>
      <w:bookmarkStart w:id="129" w:name="_Toc531679176"/>
      <w:bookmarkStart w:id="130" w:name="_Toc148"/>
      <w:r>
        <w:rPr>
          <w:rFonts w:hint="eastAsia" w:ascii="宋体" w:hAnsi="宋体" w:cs="宋体"/>
          <w:color w:val="000000"/>
          <w:sz w:val="28"/>
          <w:szCs w:val="28"/>
        </w:rPr>
        <w:t>阿坝州委州政府始终把中等职业教育基础设施建设作为教育发展战略重点工作，先后制定了《阿坝州中长期教育改革和发展规划纲要（2011—2020年）》的通知（阿委发〔2011〕5号）《中共阿坝州委 阿坝州人民政府关于促进教育发展新跨越的决定》（阿委〔2011〕29号）《关于成立中等职业教育招生工作领导小组的通知》（阿坝州教育局）、阿坝州教育局关于转发《职业学校学生实习管理规定》的通知（阿州教发〔2016〕274号）、《阿坝州教育局关于进一步规范中等职业学校办学行为的通知》（阿州教发〔2017〕109号）等一系列政策措施。</w:t>
      </w:r>
    </w:p>
    <w:p>
      <w:pPr>
        <w:ind w:firstLine="560" w:firstLineChars="200"/>
        <w:rPr>
          <w:sz w:val="28"/>
          <w:szCs w:val="28"/>
        </w:rPr>
      </w:pPr>
      <w:r>
        <w:rPr>
          <w:rFonts w:hint="eastAsia"/>
          <w:sz w:val="28"/>
          <w:szCs w:val="28"/>
        </w:rPr>
        <w:t>为严格落实相关政策，学校健全全面、系统、科学的制度体系，围绕教育教学改革，健全完善招生考试、学籍管理等方面的制度，进一步健全完善产学研结合、科技成果开发转化、学术诚信、知识产权保护等系列制度，快速推进的党风廉政建设和反腐败工作，健全完善会议、差旅、接待、培训、办公用房、公务用车、科研经费等方面的管理制度，健全完善干部作风建设和领导班子自身建设制度，健全完善党风廉政建设和责任追究等系列制度。</w:t>
      </w:r>
    </w:p>
    <w:p>
      <w:pPr>
        <w:pStyle w:val="2"/>
        <w:ind w:firstLine="602"/>
        <w:rPr>
          <w:rFonts w:ascii="黑体" w:hAnsi="黑体"/>
        </w:rPr>
      </w:pPr>
      <w:r>
        <w:rPr>
          <w:rFonts w:ascii="黑体" w:hAnsi="黑体"/>
        </w:rPr>
        <w:t>7.特</w:t>
      </w:r>
      <w:r>
        <w:t>色创新</w:t>
      </w:r>
      <w:bookmarkEnd w:id="126"/>
      <w:bookmarkEnd w:id="127"/>
      <w:bookmarkEnd w:id="128"/>
      <w:bookmarkEnd w:id="129"/>
      <w:bookmarkEnd w:id="130"/>
      <w:bookmarkStart w:id="131" w:name="_Toc31543"/>
      <w:bookmarkStart w:id="132" w:name="_Toc531602817"/>
      <w:bookmarkStart w:id="133" w:name="_Toc531679192"/>
      <w:bookmarkStart w:id="134" w:name="_Toc531602469"/>
      <w:bookmarkStart w:id="135" w:name="_Toc489899590"/>
    </w:p>
    <w:p>
      <w:pPr>
        <w:ind w:firstLine="562" w:firstLineChars="200"/>
        <w:rPr>
          <w:rFonts w:ascii="楷体" w:hAnsi="楷体" w:eastAsia="楷体" w:cs="楷体"/>
          <w:b/>
          <w:bCs/>
          <w:sz w:val="28"/>
          <w:szCs w:val="28"/>
        </w:rPr>
      </w:pPr>
      <w:r>
        <w:rPr>
          <w:rFonts w:hint="eastAsia" w:ascii="楷体" w:hAnsi="楷体" w:eastAsia="楷体" w:cs="楷体"/>
          <w:b/>
          <w:bCs/>
          <w:sz w:val="28"/>
          <w:szCs w:val="28"/>
        </w:rPr>
        <w:t>【案例1】阿坝州举办首届“政行校企协”联动论坛</w:t>
      </w:r>
    </w:p>
    <w:p>
      <w:pPr>
        <w:ind w:firstLine="420" w:firstLineChars="200"/>
        <w:rPr>
          <w:rFonts w:ascii="楷体" w:hAnsi="楷体" w:eastAsia="楷体" w:cs="楷体"/>
          <w:sz w:val="28"/>
          <w:szCs w:val="28"/>
        </w:rPr>
      </w:pPr>
      <w:r>
        <w:rPr>
          <w:rFonts w:hint="eastAsia" w:ascii="黑体" w:hAnsi="黑体"/>
        </w:rPr>
        <w:t xml:space="preserve"> </w:t>
      </w:r>
      <w:r>
        <w:rPr>
          <w:rFonts w:hint="eastAsia" w:ascii="楷体" w:hAnsi="楷体" w:eastAsia="楷体" w:cs="楷体"/>
          <w:sz w:val="28"/>
          <w:szCs w:val="28"/>
        </w:rPr>
        <w:t>“孟夏满目绿盎然，九寨仙境如梦般”，5月25日上午，由阿坝州教育局主办，阿坝州中等职业技术学校主要承办，九寨沟县人民政府、九寨沟宏义投资有限公司、北京中思远信息科学研究院承办的阿坝州首届“政行校企协”联动论坛在九寨沟县汇演中心隆重拉开帷幕。</w:t>
      </w:r>
    </w:p>
    <w:p>
      <w:pPr>
        <w:jc w:val="center"/>
        <w:rPr>
          <w:rFonts w:ascii="楷体" w:hAnsi="楷体" w:eastAsia="楷体" w:cs="楷体"/>
          <w:sz w:val="28"/>
          <w:szCs w:val="28"/>
        </w:rPr>
      </w:pPr>
      <w:r>
        <w:rPr>
          <w:rFonts w:hint="eastAsia" w:ascii="楷体" w:hAnsi="楷体" w:eastAsia="楷体" w:cs="楷体"/>
          <w:sz w:val="28"/>
          <w:szCs w:val="28"/>
        </w:rPr>
        <w:drawing>
          <wp:inline distT="0" distB="0" distL="114300" distR="114300">
            <wp:extent cx="2586990" cy="1737360"/>
            <wp:effectExtent l="0" t="0" r="3810" b="15240"/>
            <wp:docPr id="76" name="图片 76" descr="微信图片_201912101709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descr="微信图片_20191210170955"/>
                    <pic:cNvPicPr>
                      <a:picLocks noChangeAspect="true"/>
                    </pic:cNvPicPr>
                  </pic:nvPicPr>
                  <pic:blipFill>
                    <a:blip r:embed="rId39"/>
                    <a:stretch>
                      <a:fillRect/>
                    </a:stretch>
                  </pic:blipFill>
                  <pic:spPr>
                    <a:xfrm>
                      <a:off x="0" y="0"/>
                      <a:ext cx="2586990" cy="1737360"/>
                    </a:xfrm>
                    <a:prstGeom prst="rect">
                      <a:avLst/>
                    </a:prstGeom>
                  </pic:spPr>
                </pic:pic>
              </a:graphicData>
            </a:graphic>
          </wp:inline>
        </w:drawing>
      </w:r>
      <w:r>
        <w:rPr>
          <w:rFonts w:hint="eastAsia" w:ascii="楷体" w:hAnsi="楷体" w:eastAsia="楷体" w:cs="楷体"/>
          <w:sz w:val="28"/>
          <w:szCs w:val="28"/>
        </w:rPr>
        <w:t xml:space="preserve"> </w:t>
      </w:r>
      <w:r>
        <w:rPr>
          <w:rFonts w:ascii="楷体" w:hAnsi="楷体" w:eastAsia="楷体" w:cs="楷体"/>
          <w:sz w:val="28"/>
          <w:szCs w:val="28"/>
        </w:rPr>
        <w:drawing>
          <wp:inline distT="0" distB="0" distL="114300" distR="114300">
            <wp:extent cx="2589530" cy="1739265"/>
            <wp:effectExtent l="0" t="0" r="1270" b="13335"/>
            <wp:docPr id="77" name="图片 77" descr="微信图片_20191210171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77" descr="微信图片_20191210171001"/>
                    <pic:cNvPicPr>
                      <a:picLocks noChangeAspect="true"/>
                    </pic:cNvPicPr>
                  </pic:nvPicPr>
                  <pic:blipFill>
                    <a:blip r:embed="rId17"/>
                    <a:stretch>
                      <a:fillRect/>
                    </a:stretch>
                  </pic:blipFill>
                  <pic:spPr>
                    <a:xfrm>
                      <a:off x="0" y="0"/>
                      <a:ext cx="2589530" cy="1739265"/>
                    </a:xfrm>
                    <a:prstGeom prst="rect">
                      <a:avLst/>
                    </a:prstGeom>
                  </pic:spPr>
                </pic:pic>
              </a:graphicData>
            </a:graphic>
          </wp:inline>
        </w:drawing>
      </w:r>
    </w:p>
    <w:p/>
    <w:p>
      <w:pPr>
        <w:ind w:firstLine="560" w:firstLineChars="200"/>
        <w:rPr>
          <w:rFonts w:ascii="楷体" w:hAnsi="楷体" w:eastAsia="楷体" w:cs="楷体"/>
          <w:sz w:val="28"/>
          <w:szCs w:val="28"/>
        </w:rPr>
      </w:pPr>
      <w:r>
        <w:rPr>
          <w:rFonts w:hint="eastAsia" w:ascii="楷体" w:hAnsi="楷体" w:eastAsia="楷体" w:cs="楷体"/>
          <w:sz w:val="28"/>
          <w:szCs w:val="28"/>
        </w:rPr>
        <w:t>北京教科院发展教育研究所所长史枫，省教育厅职成教处处长蔡存明，州委常委、宣传部部长杨星，州人民政府副州长葛宁，州教育局局长卢晓军，九寨沟县委副书记、县长陶钢，壤塘县委副书记达尔吉，九寨沟县副县长陈志敏，松潘县副县长袁杰，若尔盖县副县长甘再清，州教育局副局长李睿莅临论坛。开幕式由陶刚同志致欢迎词，葛宁同志、蔡存明同志致辞，杨星同志宣布开幕。</w:t>
      </w:r>
    </w:p>
    <w:p>
      <w:pPr>
        <w:ind w:firstLine="560" w:firstLineChars="200"/>
        <w:rPr>
          <w:rFonts w:ascii="楷体" w:hAnsi="楷体" w:eastAsia="楷体" w:cs="楷体"/>
          <w:sz w:val="28"/>
          <w:szCs w:val="28"/>
        </w:rPr>
      </w:pPr>
      <w:r>
        <w:rPr>
          <w:rFonts w:hint="eastAsia" w:ascii="楷体" w:hAnsi="楷体" w:eastAsia="楷体" w:cs="楷体"/>
          <w:sz w:val="28"/>
          <w:szCs w:val="28"/>
        </w:rPr>
        <w:t>在致辞中，葛宁同志强调，阿坝州委、州政府全面贯彻落实大力发展职业教育的战略部署，全面优化资源调整布局结构，加大投入夯实办学基础，深化产教融合提升育人质量，开创了我州职业教育改革发展的新局面。随着国务院印发《国家职业教育改革实施方案》，阿坝职业教育迎来了新的挑战和活力。此次论坛召开标志着我州职业院校与地方政府、行业、企业、院校及协会在合作办学方面迈出了新的坚实步伐，为创新人才培养模式，加快职业院校内涵发展奠定坚实基础。希望与会各方精诚合作，全州职业院校以此为契机，不断创新人才培养模式，加快人才培养步伐，提升人才培养质量，为全面推进“一州两区三家园”奠定坚实的人才支撑保障。</w:t>
      </w:r>
    </w:p>
    <w:p>
      <w:pPr>
        <w:ind w:firstLine="560" w:firstLineChars="200"/>
        <w:rPr>
          <w:rFonts w:ascii="楷体" w:hAnsi="楷体" w:eastAsia="楷体" w:cs="楷体"/>
          <w:sz w:val="28"/>
          <w:szCs w:val="28"/>
        </w:rPr>
      </w:pPr>
      <w:r>
        <w:rPr>
          <w:rFonts w:hint="eastAsia" w:ascii="楷体" w:hAnsi="楷体" w:eastAsia="楷体" w:cs="楷体"/>
          <w:sz w:val="28"/>
          <w:szCs w:val="28"/>
        </w:rPr>
        <w:t>蔡存明同志首先代表省教育厅，向奋斗在一线的教育工作者表达深切的问候。并强调，阿坝州职业教育围绕“深化职业教育改革，推动职业教育高质量发展”要求，夯实职业院校办学基础，加强教师队伍建设，着力省级“双示范”创建，全面提升教育教学质量，完善现代职业教育体系，有力推动了州内职业教育的健康发展。要落实《国家职业教育改革发展方案》部署，应当充分借助阿坝丰富的生态、旅游资源优势和丰厚民族文化根基，着力深化职业教育教学改革，建立地企合作长效机制，创新人才培养模式，促进产教深度融合，加快培育大批具有专业技能与工匠精神的高素质劳动者和人才，积极打造民族地区职业教育的品牌和旗帜。</w:t>
      </w:r>
    </w:p>
    <w:p>
      <w:pPr>
        <w:jc w:val="center"/>
        <w:rPr>
          <w:rFonts w:ascii="楷体" w:hAnsi="楷体" w:eastAsia="楷体" w:cs="楷体"/>
          <w:sz w:val="28"/>
          <w:szCs w:val="28"/>
        </w:rPr>
      </w:pPr>
      <w:r>
        <w:rPr>
          <w:rFonts w:hint="eastAsia" w:ascii="楷体" w:hAnsi="楷体" w:eastAsia="楷体" w:cs="楷体"/>
          <w:sz w:val="28"/>
          <w:szCs w:val="28"/>
        </w:rPr>
        <w:drawing>
          <wp:inline distT="0" distB="0" distL="114300" distR="114300">
            <wp:extent cx="3208655" cy="2134870"/>
            <wp:effectExtent l="0" t="0" r="10795" b="17780"/>
            <wp:docPr id="78" name="图片 78" descr="微信图片_201912101710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descr="微信图片_20191210171015"/>
                    <pic:cNvPicPr>
                      <a:picLocks noChangeAspect="true"/>
                    </pic:cNvPicPr>
                  </pic:nvPicPr>
                  <pic:blipFill>
                    <a:blip r:embed="rId40"/>
                    <a:stretch>
                      <a:fillRect/>
                    </a:stretch>
                  </pic:blipFill>
                  <pic:spPr>
                    <a:xfrm>
                      <a:off x="0" y="0"/>
                      <a:ext cx="3208655" cy="2134870"/>
                    </a:xfrm>
                    <a:prstGeom prst="rect">
                      <a:avLst/>
                    </a:prstGeom>
                  </pic:spPr>
                </pic:pic>
              </a:graphicData>
            </a:graphic>
          </wp:inline>
        </w:drawing>
      </w:r>
    </w:p>
    <w:p>
      <w:pPr>
        <w:bidi w:val="0"/>
        <w:rPr>
          <w:rFonts w:hint="eastAsia"/>
        </w:rPr>
      </w:pPr>
    </w:p>
    <w:p>
      <w:pPr>
        <w:ind w:firstLine="560" w:firstLineChars="200"/>
      </w:pPr>
      <w:r>
        <w:rPr>
          <w:rFonts w:hint="eastAsia" w:ascii="楷体" w:hAnsi="楷体" w:eastAsia="楷体" w:cs="楷体"/>
          <w:sz w:val="28"/>
          <w:szCs w:val="28"/>
        </w:rPr>
        <w:t>在由卢晓军同志主持订单培养签订合作协议签约仪式上，阿坝州中等职业技术学校分别与壤塘县人民政府、成都礼仪职中、四川省烹饪协会、成都汽车职业技术学校、四川省文轩职业学院现场签订战略合作协议；另与企业、行业、协会签订战略合作协议15个。</w:t>
      </w:r>
    </w:p>
    <w:p>
      <w:pPr>
        <w:ind w:firstLine="560" w:firstLineChars="200"/>
        <w:rPr>
          <w:rFonts w:ascii="楷体" w:hAnsi="楷体" w:eastAsia="楷体" w:cs="楷体"/>
          <w:sz w:val="28"/>
          <w:szCs w:val="28"/>
        </w:rPr>
      </w:pPr>
      <w:r>
        <w:rPr>
          <w:rFonts w:hint="eastAsia" w:ascii="楷体" w:hAnsi="楷体" w:eastAsia="楷体" w:cs="楷体"/>
          <w:sz w:val="28"/>
          <w:szCs w:val="28"/>
        </w:rPr>
        <w:t>论坛还进行了由史枫同志作的落实国家职业教育改革实施方案、推进新时代产教融合深度发展的专题报告。他从职业教育改革创新的现实需求、《国家职业教育改革实施方案》解析、产教融合命运共同体的内涵及特征、产教融合背景下政、企、校的行动建议等四个方面深刻讲解。</w:t>
      </w:r>
    </w:p>
    <w:p>
      <w:pPr>
        <w:ind w:firstLine="560" w:firstLineChars="200"/>
        <w:rPr>
          <w:rFonts w:ascii="楷体" w:hAnsi="楷体" w:eastAsia="楷体" w:cs="楷体"/>
          <w:sz w:val="28"/>
          <w:szCs w:val="28"/>
        </w:rPr>
      </w:pPr>
      <w:r>
        <w:rPr>
          <w:rFonts w:hint="eastAsia" w:ascii="楷体" w:hAnsi="楷体" w:eastAsia="楷体" w:cs="楷体"/>
          <w:sz w:val="28"/>
          <w:szCs w:val="28"/>
        </w:rPr>
        <w:t>25日下午，由李睿同志主持民族地区职业教育发展路径探索的交流会上，四川省职业教育与成人教育协会副会长李代慧、壤塘县县委副书记达尔基、四川省烹饪协会会长杨国钦、成都礼仪职中校长杨建辉、北京中思远执行院长袁俊益就探讨民族地区职业教育发展路径先后发言。</w:t>
      </w:r>
    </w:p>
    <w:p>
      <w:pPr>
        <w:ind w:firstLine="560" w:firstLineChars="200"/>
        <w:rPr>
          <w:rFonts w:ascii="楷体" w:hAnsi="楷体" w:eastAsia="楷体" w:cs="楷体"/>
          <w:b/>
          <w:bCs/>
          <w:sz w:val="28"/>
          <w:szCs w:val="28"/>
        </w:rPr>
      </w:pPr>
      <w:r>
        <w:rPr>
          <w:rFonts w:hint="eastAsia" w:ascii="楷体" w:hAnsi="楷体" w:eastAsia="楷体" w:cs="楷体"/>
          <w:sz w:val="28"/>
          <w:szCs w:val="28"/>
        </w:rPr>
        <w:t>此次论坛邀请四川省烹饪协会、省职业教育协会、阿坝州商会、大九旅集团等10余家行业、企业负责人出席；成都职业技术学院、成都农业科技职业技术学院、成都汽车维修学校等15所职业院校党政主要负责人应邀出席；阿坝职业学院、四川省威州民族师范学校、马尔康民族师范学校、阿坝卫生学校党政主要负责人及全州十三县教育局党政负责人参加；四川省教育电视台、四川日报报业集团、四川民族教育报等六家媒体重点报道。</w:t>
      </w:r>
    </w:p>
    <w:p>
      <w:pPr>
        <w:ind w:firstLine="562" w:firstLineChars="200"/>
        <w:rPr>
          <w:rFonts w:ascii="楷体" w:hAnsi="楷体" w:eastAsia="楷体" w:cs="楷体"/>
          <w:b/>
          <w:bCs/>
          <w:sz w:val="28"/>
          <w:szCs w:val="28"/>
        </w:rPr>
      </w:pPr>
      <w:r>
        <w:rPr>
          <w:rFonts w:hint="eastAsia" w:ascii="楷体" w:hAnsi="楷体" w:eastAsia="楷体" w:cs="楷体"/>
          <w:b/>
          <w:bCs/>
          <w:sz w:val="28"/>
          <w:szCs w:val="28"/>
        </w:rPr>
        <w:t>【案例2】阿坝州首届“双元双向”人才培养模式试点落户</w:t>
      </w:r>
    </w:p>
    <w:p>
      <w:pPr>
        <w:ind w:firstLine="560" w:firstLineChars="200"/>
        <w:rPr>
          <w:rFonts w:ascii="楷体" w:hAnsi="楷体" w:eastAsia="楷体" w:cs="楷体"/>
          <w:sz w:val="28"/>
          <w:szCs w:val="28"/>
        </w:rPr>
      </w:pPr>
      <w:r>
        <w:rPr>
          <w:rFonts w:hint="eastAsia" w:ascii="楷体" w:hAnsi="楷体" w:eastAsia="楷体" w:cs="楷体"/>
          <w:sz w:val="28"/>
          <w:szCs w:val="28"/>
        </w:rPr>
        <w:t>阿坝州中等职业技术学校近几年因学生就业不畅，导致招生出口不旺、招生人数不理想，新一届班子组建后以“四个三”为抓手，大胆探索民族地区职业教育发展的新模式、新路径。在省职教协会、州教育局的关心支持下，在校领导的正确领导下，在阿坝州中等职业学校人的共同努力下，今年招生人数达到520人，较之去年的招生人数92人。</w:t>
      </w:r>
    </w:p>
    <w:p>
      <w:pPr>
        <w:jc w:val="center"/>
        <w:rPr>
          <w:rFonts w:ascii="楷体" w:hAnsi="楷体" w:eastAsia="楷体" w:cs="楷体"/>
          <w:sz w:val="28"/>
          <w:szCs w:val="28"/>
        </w:rPr>
      </w:pPr>
      <w:r>
        <w:rPr>
          <w:rFonts w:hint="eastAsia" w:ascii="楷体" w:hAnsi="楷体" w:eastAsia="楷体" w:cs="楷体"/>
          <w:sz w:val="28"/>
          <w:szCs w:val="28"/>
        </w:rPr>
        <w:drawing>
          <wp:inline distT="0" distB="0" distL="114300" distR="114300">
            <wp:extent cx="2583815" cy="1723390"/>
            <wp:effectExtent l="0" t="0" r="6985" b="10160"/>
            <wp:docPr id="41" name="图片 41" descr="微信图片_201912101545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微信图片_20191210154525"/>
                    <pic:cNvPicPr>
                      <a:picLocks noChangeAspect="true"/>
                    </pic:cNvPicPr>
                  </pic:nvPicPr>
                  <pic:blipFill>
                    <a:blip r:embed="rId41"/>
                    <a:stretch>
                      <a:fillRect/>
                    </a:stretch>
                  </pic:blipFill>
                  <pic:spPr>
                    <a:xfrm>
                      <a:off x="0" y="0"/>
                      <a:ext cx="2583815" cy="1723390"/>
                    </a:xfrm>
                    <a:prstGeom prst="rect">
                      <a:avLst/>
                    </a:prstGeom>
                  </pic:spPr>
                </pic:pic>
              </a:graphicData>
            </a:graphic>
          </wp:inline>
        </w:drawing>
      </w:r>
      <w:r>
        <w:rPr>
          <w:rFonts w:hint="eastAsia" w:ascii="楷体" w:hAnsi="楷体" w:eastAsia="楷体" w:cs="楷体"/>
          <w:sz w:val="28"/>
          <w:szCs w:val="28"/>
        </w:rPr>
        <w:t xml:space="preserve"> </w:t>
      </w:r>
      <w:r>
        <w:rPr>
          <w:rFonts w:hint="eastAsia" w:ascii="楷体" w:hAnsi="楷体" w:eastAsia="楷体" w:cs="楷体"/>
          <w:sz w:val="28"/>
          <w:szCs w:val="28"/>
        </w:rPr>
        <w:drawing>
          <wp:inline distT="0" distB="0" distL="114300" distR="114300">
            <wp:extent cx="2859405" cy="1716405"/>
            <wp:effectExtent l="0" t="0" r="17145" b="17145"/>
            <wp:docPr id="40" name="图片 40" descr="微信图片_201912101545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微信图片_20191210154534"/>
                    <pic:cNvPicPr>
                      <a:picLocks noChangeAspect="true"/>
                    </pic:cNvPicPr>
                  </pic:nvPicPr>
                  <pic:blipFill>
                    <a:blip r:embed="rId42"/>
                    <a:stretch>
                      <a:fillRect/>
                    </a:stretch>
                  </pic:blipFill>
                  <pic:spPr>
                    <a:xfrm>
                      <a:off x="0" y="0"/>
                      <a:ext cx="2859405" cy="1716405"/>
                    </a:xfrm>
                    <a:prstGeom prst="rect">
                      <a:avLst/>
                    </a:prstGeom>
                  </pic:spPr>
                </pic:pic>
              </a:graphicData>
            </a:graphic>
          </wp:inline>
        </w:drawing>
      </w:r>
    </w:p>
    <w:p/>
    <w:p>
      <w:pPr>
        <w:ind w:firstLine="560" w:firstLineChars="200"/>
        <w:rPr>
          <w:rFonts w:ascii="楷体" w:hAnsi="楷体" w:eastAsia="楷体" w:cs="楷体"/>
          <w:sz w:val="28"/>
          <w:szCs w:val="28"/>
        </w:rPr>
      </w:pPr>
      <w:r>
        <w:rPr>
          <w:rFonts w:hint="eastAsia" w:ascii="楷体" w:hAnsi="楷体" w:eastAsia="楷体" w:cs="楷体"/>
          <w:sz w:val="28"/>
          <w:szCs w:val="28"/>
        </w:rPr>
        <w:t>2019年6月与凉山州劳务输出基地达成了战略合作协议，9月19日阿坝州首届“双元双向”人才培养启动仪式在学校正式启动。今年“双元双向（国企订单班）”试点专业分别是机电专业与计算机专业（交通运输方向）共计招收学生126人，学生们穿着各自专业的职业装精神饱满参加启动仪式。出席该仪式的领导有四川省陶行知研究会职业教育专业委员会理事长、四川省职成教学会副会长李代慧、凉山州劳务输出基地主任何军、阿坝州中等职业技术学校党委书记、校长王树全、阿坝州中等职业学校副校长夺波。</w:t>
      </w:r>
    </w:p>
    <w:p>
      <w:pPr>
        <w:ind w:firstLine="560" w:firstLineChars="200"/>
        <w:rPr>
          <w:rFonts w:ascii="楷体" w:hAnsi="楷体" w:eastAsia="楷体" w:cs="楷体"/>
          <w:sz w:val="28"/>
          <w:szCs w:val="28"/>
        </w:rPr>
      </w:pPr>
      <w:r>
        <w:rPr>
          <w:rFonts w:hint="eastAsia" w:ascii="楷体" w:hAnsi="楷体" w:eastAsia="楷体" w:cs="楷体"/>
          <w:sz w:val="28"/>
          <w:szCs w:val="28"/>
        </w:rPr>
        <w:t>阿坝州中等职业技术学校党委书记、校长王树全就国企班的生源结构、年龄结构、学历结构、族别结构、课程设置及开发和其它工作作全面介绍；凉山州劳务输出基地主任何军对国企班的学生就未来就业方向、薪资待遇等问题对学生作了详实的讲解。对国企订单班的学生提出了纪律要求及行为规范要求。</w:t>
      </w:r>
    </w:p>
    <w:p>
      <w:pPr>
        <w:ind w:firstLine="560" w:firstLineChars="200"/>
        <w:rPr>
          <w:rFonts w:ascii="楷体" w:hAnsi="楷体" w:eastAsia="楷体" w:cs="楷体"/>
          <w:sz w:val="28"/>
          <w:szCs w:val="28"/>
        </w:rPr>
      </w:pPr>
      <w:r>
        <w:rPr>
          <w:rFonts w:hint="eastAsia" w:ascii="楷体" w:hAnsi="楷体" w:eastAsia="楷体" w:cs="楷体"/>
          <w:sz w:val="28"/>
          <w:szCs w:val="28"/>
        </w:rPr>
        <w:t>最后四川省陶行知研究会职业教育专业委员会理事长、四川省职成教学会副会长李代慧对学生们提出了殷切希望：希望学生们珍惜机会、把握机遇、苦练内功、学有所成、服务社会、为校争光。</w:t>
      </w:r>
    </w:p>
    <w:p>
      <w:pPr>
        <w:pStyle w:val="2"/>
        <w:ind w:firstLine="602"/>
        <w:rPr>
          <w:rFonts w:ascii="黑体" w:hAnsi="黑体"/>
        </w:rPr>
      </w:pPr>
      <w:r>
        <w:rPr>
          <w:rFonts w:ascii="黑体" w:hAnsi="黑体"/>
        </w:rPr>
        <w:t>8.主要问题和改进措施</w:t>
      </w:r>
      <w:bookmarkEnd w:id="131"/>
      <w:bookmarkEnd w:id="132"/>
      <w:bookmarkEnd w:id="133"/>
      <w:bookmarkEnd w:id="134"/>
      <w:bookmarkEnd w:id="135"/>
    </w:p>
    <w:p>
      <w:pPr>
        <w:pStyle w:val="3"/>
        <w:ind w:firstLine="562"/>
      </w:pPr>
      <w:bookmarkStart w:id="136" w:name="_Toc531679193"/>
      <w:bookmarkStart w:id="137" w:name="_Toc531602470"/>
      <w:bookmarkStart w:id="138" w:name="_Toc16910"/>
      <w:bookmarkStart w:id="139" w:name="_Toc531602818"/>
      <w:r>
        <w:rPr>
          <w:rFonts w:hint="eastAsia" w:ascii="黑体" w:hAnsi="黑体"/>
        </w:rPr>
        <w:t>8.1主</w:t>
      </w:r>
      <w:r>
        <w:rPr>
          <w:rFonts w:hint="eastAsia"/>
        </w:rPr>
        <w:t>要问题</w:t>
      </w:r>
      <w:bookmarkEnd w:id="136"/>
      <w:bookmarkEnd w:id="137"/>
      <w:bookmarkEnd w:id="138"/>
      <w:bookmarkEnd w:id="139"/>
    </w:p>
    <w:p>
      <w:pPr>
        <w:ind w:firstLine="560" w:firstLineChars="200"/>
        <w:rPr>
          <w:rFonts w:ascii="宋体" w:hAnsi="宋体" w:cs="宋体"/>
          <w:sz w:val="28"/>
          <w:szCs w:val="28"/>
        </w:rPr>
      </w:pPr>
      <w:bookmarkStart w:id="140" w:name="_Toc1396"/>
      <w:bookmarkStart w:id="141" w:name="_Toc531602819"/>
      <w:bookmarkStart w:id="142" w:name="_Toc531679194"/>
      <w:bookmarkStart w:id="143" w:name="_Toc531602471"/>
      <w:r>
        <w:rPr>
          <w:rFonts w:hint="eastAsia" w:ascii="宋体" w:hAnsi="宋体" w:cs="宋体"/>
          <w:sz w:val="28"/>
          <w:szCs w:val="28"/>
        </w:rPr>
        <w:t>1.随着中高职分离，学校搬迁到九寨沟集中办学后，教师周转房紧张，现有教师宿舍远远不能满足教职工住宿的需要；校园天网、管网和球场改造、实训设备、实训基地建设还需要改善，硬件设施需要进一步改善加强；</w:t>
      </w:r>
    </w:p>
    <w:p>
      <w:pPr>
        <w:ind w:firstLine="560" w:firstLineChars="200"/>
        <w:rPr>
          <w:rFonts w:ascii="宋体" w:hAnsi="宋体" w:cs="宋体"/>
          <w:sz w:val="28"/>
          <w:szCs w:val="28"/>
        </w:rPr>
      </w:pPr>
      <w:r>
        <w:rPr>
          <w:rFonts w:hint="eastAsia" w:ascii="宋体" w:hAnsi="宋体" w:cs="宋体"/>
          <w:sz w:val="28"/>
          <w:szCs w:val="28"/>
        </w:rPr>
        <w:t>2.由于中高职分离，学校部分专业骨干教师和管理干部</w:t>
      </w:r>
      <w:r>
        <w:rPr>
          <w:rFonts w:hint="eastAsia" w:ascii="宋体" w:hAnsi="宋体" w:cs="宋体"/>
          <w:color w:val="auto"/>
          <w:sz w:val="28"/>
          <w:szCs w:val="28"/>
        </w:rPr>
        <w:t>分流到</w:t>
      </w:r>
      <w:r>
        <w:rPr>
          <w:rFonts w:hint="eastAsia" w:ascii="宋体" w:hAnsi="宋体" w:cs="宋体"/>
          <w:sz w:val="28"/>
          <w:szCs w:val="28"/>
        </w:rPr>
        <w:t>高职，学校教师现缺口34人，教师队伍质量、结构、能力水平等方面还需要进一步提升，“双师型”师资队伍建设还有待加强和提升；</w:t>
      </w:r>
    </w:p>
    <w:p>
      <w:pPr>
        <w:ind w:firstLine="560" w:firstLineChars="200"/>
        <w:rPr>
          <w:rFonts w:ascii="宋体" w:hAnsi="宋体" w:cs="宋体"/>
          <w:sz w:val="28"/>
          <w:szCs w:val="28"/>
        </w:rPr>
      </w:pPr>
      <w:r>
        <w:rPr>
          <w:rFonts w:hint="eastAsia" w:ascii="宋体" w:hAnsi="宋体" w:cs="宋体"/>
          <w:sz w:val="28"/>
          <w:szCs w:val="28"/>
        </w:rPr>
        <w:t>3.受地方对职业教育的不利观念影响，学校招生困难，同时学生不愿意到企业就业，在招生就业方面均存在较大压力；</w:t>
      </w:r>
    </w:p>
    <w:p>
      <w:pPr>
        <w:ind w:firstLine="560" w:firstLineChars="200"/>
        <w:rPr>
          <w:rFonts w:ascii="宋体" w:hAnsi="宋体" w:cs="宋体"/>
          <w:sz w:val="28"/>
          <w:szCs w:val="28"/>
        </w:rPr>
      </w:pPr>
      <w:r>
        <w:rPr>
          <w:rFonts w:hint="eastAsia" w:ascii="宋体" w:hAnsi="宋体" w:cs="宋体"/>
          <w:sz w:val="28"/>
          <w:szCs w:val="28"/>
        </w:rPr>
        <w:t>4.教学质量保障体系不完善，教学管理科学性、规范性不足，教师教学主动性、积极性不足，不利于学校人才培养质量的提高。</w:t>
      </w:r>
    </w:p>
    <w:p>
      <w:pPr>
        <w:pStyle w:val="3"/>
        <w:ind w:firstLine="562"/>
      </w:pPr>
      <w:r>
        <w:rPr>
          <w:rFonts w:hint="eastAsia" w:ascii="黑体" w:hAnsi="黑体"/>
        </w:rPr>
        <w:t>8.2</w:t>
      </w:r>
      <w:r>
        <w:rPr>
          <w:rFonts w:hint="eastAsia"/>
        </w:rPr>
        <w:t>改进措施</w:t>
      </w:r>
      <w:bookmarkEnd w:id="140"/>
      <w:bookmarkEnd w:id="141"/>
      <w:bookmarkEnd w:id="142"/>
      <w:bookmarkEnd w:id="143"/>
    </w:p>
    <w:p>
      <w:pPr>
        <w:ind w:firstLine="562" w:firstLineChars="200"/>
        <w:rPr>
          <w:rFonts w:asciiTheme="minorEastAsia" w:hAnsiTheme="minorEastAsia" w:eastAsiaTheme="minorEastAsia"/>
          <w:sz w:val="28"/>
          <w:szCs w:val="21"/>
        </w:rPr>
      </w:pPr>
      <w:r>
        <w:rPr>
          <w:rFonts w:hint="eastAsia" w:asciiTheme="minorEastAsia" w:hAnsiTheme="minorEastAsia" w:eastAsiaTheme="minorEastAsia"/>
          <w:b/>
          <w:color w:val="000000"/>
          <w:sz w:val="28"/>
          <w:szCs w:val="21"/>
        </w:rPr>
        <w:t>1.</w:t>
      </w:r>
      <w:r>
        <w:rPr>
          <w:rFonts w:hint="eastAsia"/>
          <w:b/>
        </w:rPr>
        <w:t xml:space="preserve"> </w:t>
      </w:r>
      <w:r>
        <w:rPr>
          <w:rFonts w:hint="eastAsia" w:asciiTheme="minorEastAsia" w:hAnsiTheme="minorEastAsia" w:eastAsiaTheme="minorEastAsia"/>
          <w:b/>
          <w:sz w:val="28"/>
          <w:szCs w:val="21"/>
        </w:rPr>
        <w:t>加大硬件设施建设力度，改善办学条件。</w:t>
      </w:r>
      <w:r>
        <w:rPr>
          <w:rFonts w:hint="eastAsia" w:asciiTheme="minorEastAsia" w:hAnsiTheme="minorEastAsia" w:eastAsiaTheme="minorEastAsia"/>
          <w:sz w:val="28"/>
          <w:szCs w:val="21"/>
        </w:rPr>
        <w:t>一是按照教育部《中等职业学校设置标准》所确定的标准，梳理学校章程、办学规模、专兼职教师队伍、校园校舍设施、办学经费等基本条件要求；二是加大校园建设专项资金投入力度，对校园环境进行改造升级。将持续加强基础能力建设，不断完善教学设施设备建设和学生生活设施建设，稳定和扩大培养培训规模，争取办学条件优于国家标准</w:t>
      </w:r>
    </w:p>
    <w:p>
      <w:pPr>
        <w:ind w:firstLine="562" w:firstLineChars="200"/>
        <w:rPr>
          <w:rFonts w:asciiTheme="minorEastAsia" w:hAnsiTheme="minorEastAsia" w:eastAsiaTheme="minorEastAsia"/>
          <w:sz w:val="28"/>
          <w:szCs w:val="21"/>
        </w:rPr>
      </w:pPr>
      <w:r>
        <w:rPr>
          <w:rFonts w:hint="eastAsia" w:asciiTheme="minorEastAsia" w:hAnsiTheme="minorEastAsia" w:eastAsiaTheme="minorEastAsia"/>
          <w:b/>
          <w:bCs/>
          <w:sz w:val="28"/>
          <w:szCs w:val="21"/>
        </w:rPr>
        <w:t>2.加强师资队伍建设，提升师资队伍整体水平。</w:t>
      </w:r>
      <w:r>
        <w:rPr>
          <w:rFonts w:hint="eastAsia" w:asciiTheme="minorEastAsia" w:hAnsiTheme="minorEastAsia" w:eastAsiaTheme="minorEastAsia"/>
          <w:sz w:val="28"/>
          <w:szCs w:val="21"/>
        </w:rPr>
        <w:t>一是完善激励机制，加大专业教师培养力度，着力加强“双师型”教师队伍建设，培养创新教学团队；二是加强人才引进，公开招聘能力突出、符合学校专业需求的优秀人才；三是加强教师培养，通过有计划委派参加国家、省市的培训以及到合作企业跟班实践，提高队伍整体素质；四是加速校企深度融合，引入行业企业专家走进校园，加强教师企业实践力度。</w:t>
      </w:r>
    </w:p>
    <w:p>
      <w:pPr>
        <w:ind w:firstLine="562" w:firstLineChars="200"/>
        <w:rPr>
          <w:rFonts w:asciiTheme="minorEastAsia" w:hAnsiTheme="minorEastAsia" w:eastAsiaTheme="minorEastAsia"/>
          <w:color w:val="000000"/>
          <w:sz w:val="28"/>
          <w:szCs w:val="21"/>
        </w:rPr>
      </w:pPr>
      <w:r>
        <w:rPr>
          <w:rFonts w:hint="eastAsia" w:asciiTheme="minorEastAsia" w:hAnsiTheme="minorEastAsia" w:eastAsiaTheme="minorEastAsia"/>
          <w:b/>
          <w:sz w:val="28"/>
          <w:szCs w:val="21"/>
        </w:rPr>
        <w:t>3.加强职业教育宣传力度，改变传统观念。</w:t>
      </w:r>
      <w:r>
        <w:rPr>
          <w:rFonts w:hint="eastAsia" w:asciiTheme="minorEastAsia" w:hAnsiTheme="minorEastAsia" w:eastAsiaTheme="minorEastAsia"/>
          <w:bCs/>
          <w:sz w:val="28"/>
          <w:szCs w:val="21"/>
        </w:rPr>
        <w:t>一是</w:t>
      </w:r>
      <w:r>
        <w:rPr>
          <w:rFonts w:hint="eastAsia" w:asciiTheme="minorEastAsia" w:hAnsiTheme="minorEastAsia" w:eastAsiaTheme="minorEastAsia"/>
          <w:color w:val="000000"/>
          <w:sz w:val="28"/>
          <w:szCs w:val="21"/>
        </w:rPr>
        <w:t>以优秀毕业生作为典型案例对家长进行正面引导；二是开设《职业生涯规划》等多门就业指导必修课程，引导学生树立正确的择业观、就业观、创业观和成才观，为今后的职业人生做好规划；三是完善招生机制，改进招生策略，积极争取地方建立送培机制，拓展生源。四是加强学校品牌宣传，提升学校知名度与形象。</w:t>
      </w:r>
    </w:p>
    <w:p>
      <w:pPr>
        <w:ind w:firstLine="562" w:firstLineChars="200"/>
        <w:rPr>
          <w:rFonts w:asciiTheme="minorEastAsia" w:hAnsiTheme="minorEastAsia" w:eastAsiaTheme="minorEastAsia"/>
          <w:color w:val="000000"/>
          <w:sz w:val="28"/>
          <w:szCs w:val="21"/>
        </w:rPr>
      </w:pPr>
      <w:r>
        <w:rPr>
          <w:rFonts w:hint="eastAsia" w:asciiTheme="minorEastAsia" w:hAnsiTheme="minorEastAsia" w:eastAsiaTheme="minorEastAsia"/>
          <w:b/>
          <w:bCs/>
          <w:color w:val="000000"/>
          <w:sz w:val="28"/>
          <w:szCs w:val="21"/>
        </w:rPr>
        <w:t>4.深入推进教学诊改工作，构建教学质量保障体系</w:t>
      </w:r>
      <w:r>
        <w:rPr>
          <w:rFonts w:hint="eastAsia" w:asciiTheme="minorEastAsia" w:hAnsiTheme="minorEastAsia" w:eastAsiaTheme="minorEastAsia"/>
          <w:color w:val="000000"/>
          <w:sz w:val="28"/>
          <w:szCs w:val="21"/>
        </w:rPr>
        <w:t>。一是完善教学管理制度，狠抓落实，提高执行力，并完善激励机制，调动和激发教师工作热情，推动教学质量的提高；二是在学期教学督导听课评课工作中加大评课环节的力度，促进教师课堂教学工作水平的提高；同时为教师教学质量的评价工作的全面推进打好基础；三是继续推进课改工作，完成专业技能标准和课程标准的编写，并在学校的统一安排下，组织行业、部门专家进行评审，实现教学标准和行业标准的对接；四是强化学生专业技能训练，把学生动手能力的训练与提高作为中心工作，在教学计划、课时配置、实训场所和完善设施、耗材准备等方面给予充分保障。</w:t>
      </w:r>
    </w:p>
    <w:p>
      <w:pPr>
        <w:ind w:firstLine="560" w:firstLineChars="200"/>
        <w:rPr>
          <w:rFonts w:asciiTheme="minorEastAsia" w:hAnsiTheme="minorEastAsia" w:eastAsiaTheme="minorEastAsia"/>
          <w:color w:val="000000"/>
          <w:sz w:val="28"/>
          <w:szCs w:val="21"/>
        </w:rPr>
      </w:pPr>
    </w:p>
    <w:p>
      <w:pPr>
        <w:ind w:firstLine="560" w:firstLineChars="200"/>
        <w:rPr>
          <w:rFonts w:asciiTheme="minorEastAsia" w:hAnsiTheme="minorEastAsia" w:eastAsiaTheme="minorEastAsia"/>
          <w:color w:val="000000"/>
          <w:sz w:val="28"/>
          <w:szCs w:val="21"/>
        </w:rPr>
      </w:pPr>
    </w:p>
    <w:p>
      <w:pPr>
        <w:rPr>
          <w:rFonts w:asciiTheme="minorEastAsia" w:hAnsiTheme="minorEastAsia" w:cstheme="minorEastAsia"/>
          <w:b/>
          <w:color w:val="000000"/>
          <w:sz w:val="28"/>
          <w:szCs w:val="28"/>
        </w:rPr>
      </w:pPr>
      <w:r>
        <w:rPr>
          <w:rFonts w:hint="eastAsia" w:asciiTheme="minorEastAsia" w:hAnsiTheme="minorEastAsia" w:cstheme="minorEastAsia"/>
          <w:b/>
          <w:color w:val="000000"/>
          <w:sz w:val="28"/>
          <w:szCs w:val="28"/>
        </w:rPr>
        <w:t>附件1：中等职业学校编制年度质量报告参考提纲</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1.学校情况</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1.1学校概况。包括校名、办学性质、校园面积、资产等情况。</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1.2 学生情况。包括招生规模、在校生规模、毕业生规模、学生结构、巩固率、培训规模等数据，及与上一年度相比的变化情况。</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1.3教师队伍。包括生师比、“双师型”教师比例、兼职教师比例、专任教师本科以上学历比例、专任教师硕士以上学历比例、专任教师高级职称教师比例等数据，及与上一年度相比的变化情况。</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1.4设施设备。包括生均教学仪器设备值、生均实训实习工位数、生均纸质图书等数据，及与上一年度相比的变化情况。</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2.学生发展</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2.1学生素质。包括思想政治状况、文化课合格率、专业技能合格率、体质测评合格率、毕业率等。</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2.2在校体验。包括理论学习满意度、专业学习满意度、实习实训满意度、校园文化与社团活动满意度、生活满意度、校园安全满意度、毕业生对学校满意度等。</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2.3资助情况。包括免学费和助学金落实情况，学校对学生的资助情况等。</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2.4就业质量。包括分专业就业率、对口就业率、初次就业起薪等数据，升入高等教育比例及与上一年度相比的变化情况。</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2.5职业发展。包括学习能力、岗位适应能力、岗位迁移能力、创新创业能力等。</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3.质量保障措施</w:t>
      </w:r>
    </w:p>
    <w:p>
      <w:pPr>
        <w:ind w:firstLine="280" w:firstLineChars="1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3.1专业动态调整。包括专业结构调整、人才培养方案调整等。</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3.2教育教学改革。包括学校公共基础课、专业设置、师资队伍、课程建设、人才培养模式改革、信息化教学、实训基地、教学资源建设、教材选用、国际合作等情况。</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3.3 教师培养培训。包括教师培养培训情况。</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3.4 规范管理情况。包括教学管理、学生管理、财务管理、后勤管理、安全管理、科研管理和管理队伍建设、管理信息化水平等。</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3.5 德育工作情况。包括德育课实施情况，校园文化建设、文明风采活动开展情况、社团活动、团组织学生会建设及活动等方面。</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3.6党建情况。包括健全党建工作管理体制情况，推动德育和思想政治工作情况，加强党组织建设情况，党组织发挥政治核心作用情况等。</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4.校企合作</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4.1校企合作开展情况和效果。</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4.2 学生实习情况。</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4.3 集团化办学情况。</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5.社会贡献</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5.1技术技能人才培养。包括用人单位满意度等。</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5.2社会服务。包括培训服务、技术服务、文化传承等。</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5.3对口支援。包括东西部对口帮扶、校际帮扶、对口扶贫等。</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6.举办者履责</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6.1经费。包括政策性经费落实情况、生均拨款、项目投入等。</w:t>
      </w:r>
    </w:p>
    <w:p>
      <w:pPr>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 xml:space="preserve">    6.2政策措施。包括落实办学自主权、落实教师编制、出台提升学校办学水平的政策和制度等。</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7.特色创新</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以案例（2个左右）的方式反映学校特色和主要创新点。</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8.主要问题和改进措施</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针对人才培养中存在的问题，分析主要原因，提出解决问题的具体措施。</w:t>
      </w:r>
    </w:p>
    <w:p>
      <w:pPr>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9.其他</w:t>
      </w:r>
    </w:p>
    <w:p>
      <w:pPr>
        <w:pStyle w:val="10"/>
        <w:spacing w:line="500" w:lineRule="exact"/>
        <w:rPr>
          <w:rFonts w:asciiTheme="minorEastAsia" w:hAnsiTheme="minorEastAsia" w:cstheme="minorEastAsia"/>
          <w:b/>
          <w:color w:val="000000"/>
          <w:sz w:val="28"/>
          <w:szCs w:val="28"/>
        </w:rPr>
      </w:pPr>
    </w:p>
    <w:p>
      <w:pPr>
        <w:pStyle w:val="10"/>
        <w:spacing w:line="500" w:lineRule="exact"/>
        <w:rPr>
          <w:rFonts w:asciiTheme="minorEastAsia" w:hAnsiTheme="minorEastAsia" w:cstheme="minorEastAsia"/>
          <w:b/>
          <w:color w:val="000000"/>
          <w:sz w:val="28"/>
          <w:szCs w:val="28"/>
        </w:rPr>
      </w:pPr>
    </w:p>
    <w:p>
      <w:pPr>
        <w:pStyle w:val="10"/>
        <w:spacing w:line="500" w:lineRule="exact"/>
        <w:rPr>
          <w:rFonts w:asciiTheme="minorEastAsia" w:hAnsiTheme="minorEastAsia" w:cstheme="minorEastAsia"/>
          <w:b/>
          <w:color w:val="000000"/>
          <w:sz w:val="28"/>
          <w:szCs w:val="28"/>
        </w:rPr>
      </w:pPr>
    </w:p>
    <w:p>
      <w:pPr>
        <w:pStyle w:val="10"/>
        <w:spacing w:line="500" w:lineRule="exact"/>
        <w:rPr>
          <w:rFonts w:asciiTheme="minorEastAsia" w:hAnsiTheme="minorEastAsia" w:cstheme="minorEastAsia"/>
          <w:b/>
          <w:bCs/>
          <w:sz w:val="28"/>
          <w:szCs w:val="28"/>
        </w:rPr>
      </w:pPr>
      <w:r>
        <w:rPr>
          <w:rFonts w:hint="eastAsia" w:asciiTheme="minorEastAsia" w:hAnsiTheme="minorEastAsia" w:cstheme="minorEastAsia"/>
          <w:b/>
          <w:color w:val="000000"/>
          <w:sz w:val="28"/>
          <w:szCs w:val="28"/>
        </w:rPr>
        <w:t>附件2：</w:t>
      </w:r>
      <w:r>
        <w:rPr>
          <w:rFonts w:hint="eastAsia" w:asciiTheme="minorEastAsia" w:hAnsiTheme="minorEastAsia" w:cstheme="minorEastAsia"/>
          <w:b/>
          <w:bCs/>
          <w:sz w:val="28"/>
          <w:szCs w:val="28"/>
        </w:rPr>
        <w:t>质量年度报告部分指标说明</w:t>
      </w:r>
    </w:p>
    <w:p>
      <w:pPr>
        <w:pStyle w:val="10"/>
        <w:spacing w:line="500" w:lineRule="exact"/>
        <w:ind w:firstLine="560" w:firstLineChars="200"/>
        <w:rPr>
          <w:rFonts w:asciiTheme="minorEastAsia" w:hAnsiTheme="minorEastAsia" w:cstheme="minorEastAsia"/>
          <w:bCs/>
          <w:sz w:val="28"/>
          <w:szCs w:val="28"/>
        </w:rPr>
      </w:pPr>
      <w:r>
        <w:rPr>
          <w:rFonts w:hint="eastAsia" w:asciiTheme="minorEastAsia" w:hAnsiTheme="minorEastAsia" w:cstheme="minorEastAsia"/>
          <w:bCs/>
          <w:sz w:val="28"/>
          <w:szCs w:val="28"/>
        </w:rPr>
        <w:t>1.生师比=在校生数/专任教师数</w:t>
      </w:r>
    </w:p>
    <w:p>
      <w:pPr>
        <w:pStyle w:val="10"/>
        <w:spacing w:line="500" w:lineRule="exact"/>
        <w:ind w:firstLine="560" w:firstLineChars="200"/>
        <w:rPr>
          <w:rFonts w:asciiTheme="minorEastAsia" w:hAnsiTheme="minorEastAsia" w:cstheme="minorEastAsia"/>
          <w:bCs/>
          <w:sz w:val="28"/>
          <w:szCs w:val="28"/>
        </w:rPr>
      </w:pPr>
      <w:r>
        <w:rPr>
          <w:rFonts w:hint="eastAsia" w:asciiTheme="minorEastAsia" w:hAnsiTheme="minorEastAsia" w:cstheme="minorEastAsia"/>
          <w:bCs/>
          <w:sz w:val="28"/>
          <w:szCs w:val="28"/>
        </w:rPr>
        <w:t>2.双师素质专任教师比例=双师素质专任教师人数/专任教师数</w:t>
      </w:r>
    </w:p>
    <w:p>
      <w:pPr>
        <w:pStyle w:val="10"/>
        <w:spacing w:line="500" w:lineRule="exact"/>
        <w:ind w:firstLine="560" w:firstLineChars="200"/>
        <w:rPr>
          <w:rFonts w:asciiTheme="minorEastAsia" w:hAnsiTheme="minorEastAsia" w:cstheme="minorEastAsia"/>
          <w:bCs/>
          <w:sz w:val="28"/>
          <w:szCs w:val="28"/>
        </w:rPr>
      </w:pPr>
      <w:r>
        <w:rPr>
          <w:rFonts w:hint="eastAsia" w:asciiTheme="minorEastAsia" w:hAnsiTheme="minorEastAsia" w:cstheme="minorEastAsia"/>
          <w:bCs/>
          <w:sz w:val="28"/>
          <w:szCs w:val="28"/>
        </w:rPr>
        <w:t>3.专任专业教师人均企业实践时间=校内专任专业教师行业企业一线工作时间总数/专任专业教师数</w:t>
      </w:r>
    </w:p>
    <w:p>
      <w:pPr>
        <w:pStyle w:val="10"/>
        <w:spacing w:line="500" w:lineRule="exact"/>
        <w:ind w:firstLine="560" w:firstLineChars="200"/>
        <w:rPr>
          <w:rFonts w:asciiTheme="minorEastAsia" w:hAnsiTheme="minorEastAsia" w:cstheme="minorEastAsia"/>
          <w:bCs/>
          <w:sz w:val="28"/>
          <w:szCs w:val="28"/>
        </w:rPr>
      </w:pPr>
      <w:r>
        <w:rPr>
          <w:rFonts w:hint="eastAsia" w:asciiTheme="minorEastAsia" w:hAnsiTheme="minorEastAsia" w:cstheme="minorEastAsia"/>
          <w:bCs/>
          <w:sz w:val="28"/>
          <w:szCs w:val="28"/>
        </w:rPr>
        <w:t>4.企业兼职教师专业课课时占比=企业兼职教师承担的专业课课时总数/专业课课时总数</w:t>
      </w:r>
    </w:p>
    <w:p>
      <w:pPr>
        <w:pStyle w:val="10"/>
        <w:spacing w:line="500" w:lineRule="exact"/>
        <w:ind w:firstLine="560" w:firstLineChars="200"/>
        <w:rPr>
          <w:rFonts w:asciiTheme="minorEastAsia" w:hAnsiTheme="minorEastAsia" w:cstheme="minorEastAsia"/>
          <w:bCs/>
          <w:sz w:val="28"/>
          <w:szCs w:val="28"/>
        </w:rPr>
      </w:pPr>
      <w:r>
        <w:rPr>
          <w:rFonts w:hint="eastAsia" w:asciiTheme="minorEastAsia" w:hAnsiTheme="minorEastAsia" w:cstheme="minorEastAsia"/>
          <w:bCs/>
          <w:sz w:val="28"/>
          <w:szCs w:val="28"/>
        </w:rPr>
        <w:t>5.生均教学科研仪器设备值=教学科研仪器设备值/在校生数</w:t>
      </w:r>
    </w:p>
    <w:p>
      <w:pPr>
        <w:pStyle w:val="10"/>
        <w:spacing w:line="500" w:lineRule="exact"/>
        <w:ind w:firstLine="560" w:firstLineChars="200"/>
        <w:rPr>
          <w:rFonts w:asciiTheme="minorEastAsia" w:hAnsiTheme="minorEastAsia" w:cstheme="minorEastAsia"/>
          <w:bCs/>
          <w:sz w:val="28"/>
          <w:szCs w:val="28"/>
        </w:rPr>
      </w:pPr>
      <w:r>
        <w:rPr>
          <w:rFonts w:hint="eastAsia" w:asciiTheme="minorEastAsia" w:hAnsiTheme="minorEastAsia" w:cstheme="minorEastAsia"/>
          <w:bCs/>
          <w:sz w:val="28"/>
          <w:szCs w:val="28"/>
        </w:rPr>
        <w:t>6.毕业生初次就业率指毕业初期毕业生就业人数与毕业生总数之比。</w:t>
      </w:r>
    </w:p>
    <w:p>
      <w:pPr>
        <w:pStyle w:val="10"/>
        <w:spacing w:line="500" w:lineRule="exact"/>
        <w:ind w:firstLine="560" w:firstLineChars="200"/>
        <w:rPr>
          <w:rFonts w:asciiTheme="minorEastAsia" w:hAnsiTheme="minorEastAsia" w:cstheme="minorEastAsia"/>
          <w:bCs/>
          <w:sz w:val="28"/>
          <w:szCs w:val="28"/>
        </w:rPr>
      </w:pPr>
      <w:r>
        <w:rPr>
          <w:rFonts w:hint="eastAsia" w:asciiTheme="minorEastAsia" w:hAnsiTheme="minorEastAsia" w:cstheme="minorEastAsia"/>
          <w:bCs/>
          <w:sz w:val="28"/>
          <w:szCs w:val="28"/>
        </w:rPr>
        <w:t>7.毕业生对口就业率指就业初期所从事工作与所学专业相一致的毕业生人数与毕业生总数之比。</w:t>
      </w:r>
    </w:p>
    <w:p>
      <w:pPr>
        <w:pStyle w:val="10"/>
        <w:spacing w:line="500" w:lineRule="exact"/>
        <w:ind w:firstLine="560" w:firstLineChars="200"/>
        <w:rPr>
          <w:rFonts w:asciiTheme="minorEastAsia" w:hAnsiTheme="minorEastAsia" w:cstheme="minorEastAsia"/>
          <w:bCs/>
          <w:sz w:val="28"/>
          <w:szCs w:val="28"/>
        </w:rPr>
      </w:pPr>
      <w:r>
        <w:rPr>
          <w:rFonts w:hint="eastAsia" w:asciiTheme="minorEastAsia" w:hAnsiTheme="minorEastAsia" w:cstheme="minorEastAsia"/>
          <w:bCs/>
          <w:sz w:val="28"/>
          <w:szCs w:val="28"/>
        </w:rPr>
        <w:t>8.毕业生月平均收入是指毕业生毕业半年内月平均收入水平。</w:t>
      </w:r>
    </w:p>
    <w:p>
      <w:pPr>
        <w:pStyle w:val="10"/>
        <w:spacing w:line="5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bCs/>
          <w:sz w:val="28"/>
          <w:szCs w:val="28"/>
        </w:rPr>
        <w:t>9.毕业生自主创业率是指选择自主创业的毕业生人数与毕业生总数之比。</w:t>
      </w:r>
    </w:p>
    <w:p>
      <w:pPr>
        <w:spacing w:line="360" w:lineRule="auto"/>
        <w:ind w:firstLine="570"/>
        <w:rPr>
          <w:rFonts w:asciiTheme="minorEastAsia" w:hAnsiTheme="minorEastAsia" w:cstheme="minorEastAsia"/>
          <w:color w:val="000000" w:themeColor="text1"/>
          <w:sz w:val="28"/>
          <w:szCs w:val="28"/>
          <w14:textFill>
            <w14:solidFill>
              <w14:schemeClr w14:val="tx1"/>
            </w14:solidFill>
          </w14:textFill>
        </w:rPr>
      </w:pPr>
    </w:p>
    <w:p>
      <w:pPr>
        <w:spacing w:line="360" w:lineRule="auto"/>
        <w:ind w:firstLine="570"/>
        <w:rPr>
          <w:rFonts w:asciiTheme="minorEastAsia" w:hAnsiTheme="minorEastAsia" w:cstheme="minorEastAsia"/>
          <w:color w:val="000000" w:themeColor="text1"/>
          <w:sz w:val="28"/>
          <w:szCs w:val="28"/>
          <w14:textFill>
            <w14:solidFill>
              <w14:schemeClr w14:val="tx1"/>
            </w14:solidFill>
          </w14:textFill>
        </w:rPr>
      </w:pPr>
    </w:p>
    <w:p>
      <w:pPr>
        <w:rPr>
          <w:rFonts w:ascii="宋体" w:hAnsi="宋体" w:cs="宋体"/>
          <w:color w:val="000000"/>
          <w:sz w:val="28"/>
          <w:szCs w:val="28"/>
        </w:rPr>
      </w:pPr>
    </w:p>
    <w:p>
      <w:pPr>
        <w:rPr>
          <w:rFonts w:ascii="宋体" w:hAnsi="宋体" w:cs="宋体"/>
          <w:color w:val="000000"/>
          <w:sz w:val="28"/>
          <w:szCs w:val="28"/>
        </w:rPr>
      </w:pPr>
      <w:r>
        <w:rPr>
          <w:rFonts w:hint="eastAsia" w:ascii="宋体" w:hAnsi="宋体" w:cs="宋体"/>
          <w:color w:val="000000"/>
          <w:sz w:val="28"/>
          <w:szCs w:val="28"/>
        </w:rPr>
        <w:drawing>
          <wp:anchor distT="0" distB="0" distL="114300" distR="114300" simplePos="0" relativeHeight="251680768" behindDoc="0" locked="0" layoutInCell="1" allowOverlap="1">
            <wp:simplePos x="0" y="0"/>
            <wp:positionH relativeFrom="column">
              <wp:posOffset>-926465</wp:posOffset>
            </wp:positionH>
            <wp:positionV relativeFrom="paragraph">
              <wp:posOffset>-1969135</wp:posOffset>
            </wp:positionV>
            <wp:extent cx="7576820" cy="10714990"/>
            <wp:effectExtent l="0" t="0" r="5080" b="10160"/>
            <wp:wrapNone/>
            <wp:docPr id="55" name="图片 55" descr="C:\Users\Administrator\Desktop\阿坝州质量年报bbbb.jpg阿坝州质量年报bbb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阿坝州质量年报bbbb.jpg阿坝州质量年报bbbb"/>
                    <pic:cNvPicPr>
                      <a:picLocks noChangeAspect="true"/>
                    </pic:cNvPicPr>
                  </pic:nvPicPr>
                  <pic:blipFill>
                    <a:blip r:embed="rId43"/>
                    <a:srcRect/>
                    <a:stretch>
                      <a:fillRect/>
                    </a:stretch>
                  </pic:blipFill>
                  <pic:spPr>
                    <a:xfrm>
                      <a:off x="0" y="0"/>
                      <a:ext cx="7576820" cy="10714990"/>
                    </a:xfrm>
                    <a:prstGeom prst="rect">
                      <a:avLst/>
                    </a:prstGeom>
                  </pic:spPr>
                </pic:pic>
              </a:graphicData>
            </a:graphic>
          </wp:anchor>
        </w:drawing>
      </w:r>
    </w:p>
    <w:p>
      <w:pPr>
        <w:rPr>
          <w:rFonts w:ascii="宋体" w:hAnsi="宋体" w:cs="宋体"/>
          <w:color w:val="000000"/>
          <w:sz w:val="28"/>
          <w:szCs w:val="28"/>
        </w:rPr>
      </w:pPr>
      <w:r>
        <w:rPr>
          <w:rFonts w:hint="eastAsia" w:ascii="宋体" w:hAnsi="宋体" w:cs="宋体"/>
          <w:color w:val="000000"/>
          <w:sz w:val="28"/>
          <w:szCs w:val="28"/>
        </w:rPr>
        <w:t>、</w:t>
      </w:r>
    </w:p>
    <w:p>
      <w:pPr>
        <w:rPr>
          <w:rFonts w:ascii="宋体" w:hAnsi="宋体" w:cs="宋体"/>
          <w:color w:val="000000"/>
          <w:sz w:val="28"/>
          <w:szCs w:val="28"/>
        </w:rPr>
      </w:pPr>
    </w:p>
    <w:p>
      <w:pPr>
        <w:rPr>
          <w:rFonts w:ascii="宋体" w:hAnsi="宋体" w:cs="宋体"/>
          <w:color w:val="000000"/>
          <w:sz w:val="28"/>
          <w:szCs w:val="28"/>
        </w:rPr>
      </w:pPr>
    </w:p>
    <w:p>
      <w:pPr>
        <w:rPr>
          <w:rFonts w:ascii="宋体" w:hAnsi="宋体" w:cs="宋体"/>
          <w:color w:val="000000"/>
          <w:sz w:val="28"/>
          <w:szCs w:val="28"/>
        </w:rPr>
      </w:pPr>
    </w:p>
    <w:p>
      <w:pPr>
        <w:rPr>
          <w:rFonts w:ascii="宋体" w:hAnsi="宋体" w:cs="宋体"/>
          <w:color w:val="000000"/>
          <w:sz w:val="28"/>
          <w:szCs w:val="28"/>
        </w:rPr>
      </w:pPr>
    </w:p>
    <w:p>
      <w:pPr>
        <w:rPr>
          <w:rFonts w:ascii="宋体" w:hAnsi="宋体" w:cs="宋体"/>
          <w:color w:val="000000"/>
          <w:sz w:val="28"/>
          <w:szCs w:val="28"/>
        </w:rPr>
      </w:pPr>
    </w:p>
    <w:sectPr>
      <w:headerReference r:id="rId5" w:type="default"/>
      <w:footerReference r:id="rId7" w:type="default"/>
      <w:headerReference r:id="rId6" w:type="even"/>
      <w:footerReference r:id="rId8" w:type="even"/>
      <w:pgSz w:w="11906" w:h="16157"/>
      <w:pgMar w:top="2268" w:right="1417" w:bottom="1984" w:left="1417" w:header="510" w:footer="794" w:gutter="0"/>
      <w:pgNumType w:fmt="decimal" w:start="1"/>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2000019F" w:csb1="00000000"/>
  </w:font>
  <w:font w:name="方正小标宋简体">
    <w:altName w:val="方正小标宋_GBK"/>
    <w:panose1 w:val="02010601030101010101"/>
    <w:charset w:val="86"/>
    <w:family w:val="auto"/>
    <w:pitch w:val="default"/>
    <w:sig w:usb0="00000000" w:usb1="00000000" w:usb2="00000000" w:usb3="00000000" w:csb0="00040000" w:csb1="00000000"/>
  </w:font>
  <w:font w:name="华文中宋">
    <w:altName w:val="方正书宋_GBK"/>
    <w:panose1 w:val="02010600040101010101"/>
    <w:charset w:val="86"/>
    <w:family w:val="auto"/>
    <w:pitch w:val="default"/>
    <w:sig w:usb0="00000000" w:usb1="00000000" w:usb2="00000000" w:usb3="00000000" w:csb0="0004009F" w:csb1="DFD70000"/>
  </w:font>
  <w:font w:name="方正粗宋简体">
    <w:altName w:val="方正书宋_GBK"/>
    <w:panose1 w:val="03000509000000000000"/>
    <w:charset w:val="86"/>
    <w:family w:val="script"/>
    <w:pitch w:val="default"/>
    <w:sig w:usb0="00000000" w:usb1="00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仿宋_GB2312">
    <w:panose1 w:val="02010609030101010101"/>
    <w:charset w:val="86"/>
    <w:family w:val="decorative"/>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A00002BF" w:usb1="38CF7CFA" w:usb2="00082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黑体_GBK">
    <w:panose1 w:val="02000000000000000000"/>
    <w:charset w:val="86"/>
    <w:family w:val="auto"/>
    <w:pitch w:val="default"/>
    <w:sig w:usb0="A00002BF" w:usb1="38CF7CFA" w:usb2="00082016" w:usb3="00000000" w:csb0="00040001"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A00002BF" w:usb1="38CF7CFA" w:usb2="00082016" w:usb3="00000000" w:csb0="00040001"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7020" w:firstLineChars="3900"/>
      <w:rPr>
        <w:rFonts w:ascii="Arial" w:hAnsi="Arial" w:cs="Arial"/>
        <w:b/>
        <w:bCs/>
        <w:color w:val="44599B"/>
      </w:rPr>
    </w:pPr>
    <w:r>
      <mc:AlternateContent>
        <mc:Choice Requires="wps">
          <w:drawing>
            <wp:anchor distT="0" distB="0" distL="114300" distR="114300" simplePos="0" relativeHeight="251668480" behindDoc="0" locked="0" layoutInCell="1" allowOverlap="1">
              <wp:simplePos x="0" y="0"/>
              <wp:positionH relativeFrom="column">
                <wp:posOffset>-908685</wp:posOffset>
              </wp:positionH>
              <wp:positionV relativeFrom="paragraph">
                <wp:posOffset>76200</wp:posOffset>
              </wp:positionV>
              <wp:extent cx="5230495" cy="0"/>
              <wp:effectExtent l="0" t="0" r="0" b="0"/>
              <wp:wrapNone/>
              <wp:docPr id="53" name="直接连接符 53"/>
              <wp:cNvGraphicFramePr/>
              <a:graphic xmlns:a="http://schemas.openxmlformats.org/drawingml/2006/main">
                <a:graphicData uri="http://schemas.microsoft.com/office/word/2010/wordprocessingShape">
                  <wps:wsp>
                    <wps:cNvCnPr/>
                    <wps:spPr>
                      <a:xfrm flipH="true">
                        <a:off x="-8890" y="9388475"/>
                        <a:ext cx="5230495" cy="0"/>
                      </a:xfrm>
                      <a:prstGeom prst="line">
                        <a:avLst/>
                      </a:prstGeom>
                      <a:ln>
                        <a:solidFill>
                          <a:srgbClr val="29177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1.55pt;margin-top:6pt;height:0pt;width:411.85pt;z-index:251668480;mso-width-relative:page;mso-height-relative:page;" filled="f" stroked="t" coordsize="21600,21600" o:gfxdata="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AOr+1l1wAAAAoBAAAPAAAAAAAAAAEAIAAAADgAAABkcnMvZG93bnJldi54bWxQSwECFAAUAAAA&#10;CACHTuJAW5XjItkBAABlAwAADgAAAAAAAAABACAAAAA8AQAAZHJzL2Uyb0RvYy54bWxQSwUGAAAA&#10;AAYABgBZAQAAhwUAAAAA&#10;">
              <v:fill on="f" focussize="0,0"/>
              <v:stroke color="#291770 [3204]" joinstyle="round"/>
              <v:imagedata o:title=""/>
              <o:lock v:ext="edit" aspectratio="f"/>
            </v:line>
          </w:pict>
        </mc:Fallback>
      </mc:AlternateContent>
    </w:r>
    <w:r>
      <w:rPr>
        <w:rFonts w:ascii="Arial" w:hAnsi="Arial" w:cs="Arial"/>
      </w:rPr>
      <mc:AlternateContent>
        <mc:Choice Requires="wps">
          <w:drawing>
            <wp:anchor distT="0" distB="0" distL="113665" distR="113665" simplePos="0" relativeHeight="251666432" behindDoc="1" locked="0" layoutInCell="1" allowOverlap="1">
              <wp:simplePos x="0" y="0"/>
              <wp:positionH relativeFrom="column">
                <wp:posOffset>5506720</wp:posOffset>
              </wp:positionH>
              <wp:positionV relativeFrom="paragraph">
                <wp:posOffset>-24130</wp:posOffset>
              </wp:positionV>
              <wp:extent cx="0" cy="224155"/>
              <wp:effectExtent l="0" t="0" r="19050" b="23495"/>
              <wp:wrapNone/>
              <wp:docPr id="4" name="直接连接符 15"/>
              <wp:cNvGraphicFramePr/>
              <a:graphic xmlns:a="http://schemas.openxmlformats.org/drawingml/2006/main">
                <a:graphicData uri="http://schemas.microsoft.com/office/word/2010/wordprocessingShape">
                  <wps:wsp>
                    <wps:cNvCnPr/>
                    <wps:spPr>
                      <a:xfrm>
                        <a:off x="0" y="0"/>
                        <a:ext cx="0" cy="224155"/>
                      </a:xfrm>
                      <a:prstGeom prst="line">
                        <a:avLst/>
                      </a:prstGeom>
                      <a:noFill/>
                      <a:ln w="12700" cap="flat" cmpd="sng" algn="ctr">
                        <a:solidFill>
                          <a:srgbClr val="44599B"/>
                        </a:solidFill>
                        <a:prstDash val="solid"/>
                      </a:ln>
                    </wps:spPr>
                    <wps:bodyPr/>
                  </wps:wsp>
                </a:graphicData>
              </a:graphic>
            </wp:anchor>
          </w:drawing>
        </mc:Choice>
        <mc:Fallback>
          <w:pict>
            <v:line id="直接连接符 15" o:spid="_x0000_s1026" o:spt="20" style="position:absolute;left:0pt;margin-left:433.6pt;margin-top:-1.9pt;height:17.65pt;width:0pt;z-index:-251650048;mso-width-relative:page;mso-height-relative:page;" filled="f" stroked="t" coordsize="21600,21600" o:gfxdata="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V++BK9UAAAAJAQAADwAAAAAAAAABACAA&#10;AAA4AAAAZHJzL2Rvd25yZXYueG1sUEsBAhQAFAAAAAgAh07iQFOKGrPBAQAATQMAAA4AAAAAAAAA&#10;AQAgAAAAOgEAAGRycy9lMm9Eb2MueG1sUEsFBgAAAAAGAAYAWQEAAG0FAAAAAA==&#10;">
              <v:fill on="f" focussize="0,0"/>
              <v:stroke weight="1pt" color="#44599B" joinstyle="round"/>
              <v:imagedata o:title=""/>
              <o:lock v:ext="edit" aspectratio="f"/>
            </v:line>
          </w:pict>
        </mc:Fallback>
      </mc:AlternateContent>
    </w:r>
    <w:r>
      <w:rPr>
        <w:rFonts w:ascii="Arial" w:hAnsi="Arial" w:cs="Arial"/>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-7620</wp:posOffset>
              </wp:positionV>
              <wp:extent cx="78105" cy="160655"/>
              <wp:effectExtent l="0" t="0" r="10795" b="4445"/>
              <wp:wrapNone/>
              <wp:docPr id="246" name="文本框 246"/>
              <wp:cNvGraphicFramePr/>
              <a:graphic xmlns:a="http://schemas.openxmlformats.org/drawingml/2006/main">
                <a:graphicData uri="http://schemas.microsoft.com/office/word/2010/wordprocessingShape">
                  <wps:wsp>
                    <wps:cNvSpPr txBox="true"/>
                    <wps:spPr>
                      <a:xfrm>
                        <a:off x="0" y="0"/>
                        <a:ext cx="78105" cy="160655"/>
                      </a:xfrm>
                      <a:prstGeom prst="rect">
                        <a:avLst/>
                      </a:prstGeom>
                      <a:noFill/>
                      <a:ln w="6350">
                        <a:noFill/>
                      </a:ln>
                    </wps:spPr>
                    <wps:txbx>
                      <w:txbxContent>
                        <w:p>
                          <w:pPr>
                            <w:snapToGrid w:val="0"/>
                            <w:rPr>
                              <w:rFonts w:ascii="Arial" w:hAnsi="Arial" w:cs="Arial"/>
                              <w:color w:val="44599B"/>
                              <w:sz w:val="20"/>
                              <w:szCs w:val="20"/>
                            </w:rPr>
                          </w:pPr>
                          <w:r>
                            <w:rPr>
                              <w:rFonts w:ascii="Arial" w:hAnsi="Arial" w:cs="Arial"/>
                              <w:color w:val="44599B"/>
                              <w:sz w:val="22"/>
                              <w:szCs w:val="22"/>
                            </w:rPr>
                            <w:fldChar w:fldCharType="begin"/>
                          </w:r>
                          <w:r>
                            <w:rPr>
                              <w:rFonts w:ascii="Arial" w:hAnsi="Arial" w:cs="Arial"/>
                              <w:color w:val="44599B"/>
                              <w:sz w:val="22"/>
                              <w:szCs w:val="22"/>
                            </w:rPr>
                            <w:instrText xml:space="preserve"> PAGE  \* MERGEFORMAT </w:instrText>
                          </w:r>
                          <w:r>
                            <w:rPr>
                              <w:rFonts w:ascii="Arial" w:hAnsi="Arial" w:cs="Arial"/>
                              <w:color w:val="44599B"/>
                              <w:sz w:val="22"/>
                              <w:szCs w:val="22"/>
                            </w:rPr>
                            <w:fldChar w:fldCharType="separate"/>
                          </w:r>
                          <w:r>
                            <w:rPr>
                              <w:rFonts w:ascii="Arial" w:hAnsi="Arial" w:cs="Arial"/>
                              <w:color w:val="44599B"/>
                              <w:sz w:val="22"/>
                              <w:szCs w:val="22"/>
                            </w:rPr>
                            <w:t>1</w:t>
                          </w:r>
                          <w:r>
                            <w:rPr>
                              <w:rFonts w:ascii="Arial" w:hAnsi="Arial" w:cs="Arial"/>
                              <w:color w:val="44599B"/>
                              <w:sz w:val="22"/>
                              <w:szCs w:val="22"/>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6pt;height:12.65pt;width:6.15pt;mso-position-horizontal:outside;mso-position-horizontal-relative:margin;mso-wrap-style:none;z-index:251664384;mso-width-relative:page;mso-height-relative:page;" filled="f" stroked="f" coordsize="21600,21600" o:gfxdata="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twmy90wAAAAUBAAAPAAAAAAAAAAEAIAAAADgAAABkcnMvZG93bnJldi54bWxQSwEC&#10;FAAUAAAACACHTuJAX2l8HBwCAAAaBAAADgAAAAAAAAABACAAAAA4AQAAZHJzL2Uyb0RvYy54bWxQ&#10;SwUGAAAAAAYABgBZAQAAxgUAAAAA&#10;">
              <v:fill on="f" focussize="0,0"/>
              <v:stroke on="f" weight="0.5pt"/>
              <v:imagedata o:title=""/>
              <o:lock v:ext="edit" aspectratio="f"/>
              <v:textbox inset="0mm,0mm,0mm,0mm" style="mso-fit-shape-to-text:t;">
                <w:txbxContent>
                  <w:p>
                    <w:pPr>
                      <w:snapToGrid w:val="0"/>
                      <w:rPr>
                        <w:rFonts w:ascii="Arial" w:hAnsi="Arial" w:cs="Arial"/>
                        <w:color w:val="44599B"/>
                        <w:sz w:val="20"/>
                        <w:szCs w:val="20"/>
                      </w:rPr>
                    </w:pPr>
                    <w:r>
                      <w:rPr>
                        <w:rFonts w:ascii="Arial" w:hAnsi="Arial" w:cs="Arial"/>
                        <w:color w:val="44599B"/>
                        <w:sz w:val="22"/>
                        <w:szCs w:val="22"/>
                      </w:rPr>
                      <w:fldChar w:fldCharType="begin"/>
                    </w:r>
                    <w:r>
                      <w:rPr>
                        <w:rFonts w:ascii="Arial" w:hAnsi="Arial" w:cs="Arial"/>
                        <w:color w:val="44599B"/>
                        <w:sz w:val="22"/>
                        <w:szCs w:val="22"/>
                      </w:rPr>
                      <w:instrText xml:space="preserve"> PAGE  \* MERGEFORMAT </w:instrText>
                    </w:r>
                    <w:r>
                      <w:rPr>
                        <w:rFonts w:ascii="Arial" w:hAnsi="Arial" w:cs="Arial"/>
                        <w:color w:val="44599B"/>
                        <w:sz w:val="22"/>
                        <w:szCs w:val="22"/>
                      </w:rPr>
                      <w:fldChar w:fldCharType="separate"/>
                    </w:r>
                    <w:r>
                      <w:rPr>
                        <w:rFonts w:ascii="Arial" w:hAnsi="Arial" w:cs="Arial"/>
                        <w:color w:val="44599B"/>
                        <w:sz w:val="22"/>
                        <w:szCs w:val="22"/>
                      </w:rPr>
                      <w:t>1</w:t>
                    </w:r>
                    <w:r>
                      <w:rPr>
                        <w:rFonts w:ascii="Arial" w:hAnsi="Arial" w:cs="Arial"/>
                        <w:color w:val="44599B"/>
                        <w:sz w:val="22"/>
                        <w:szCs w:val="22"/>
                      </w:rPr>
                      <w:fldChar w:fldCharType="end"/>
                    </w:r>
                  </w:p>
                </w:txbxContent>
              </v:textbox>
            </v:shape>
          </w:pict>
        </mc:Fallback>
      </mc:AlternateContent>
    </w:r>
    <w:r>
      <w:rPr>
        <w:rFonts w:ascii="Arial" w:hAnsi="Arial" w:cs="Arial"/>
        <w:b/>
        <w:bCs/>
        <w:color w:val="44599B"/>
      </w:rPr>
      <w:t>201</w:t>
    </w:r>
    <w:r>
      <w:rPr>
        <w:rFonts w:hint="eastAsia" w:ascii="Arial" w:hAnsi="Arial" w:cs="Arial"/>
        <w:b/>
        <w:bCs/>
        <w:color w:val="44599B"/>
      </w:rPr>
      <w:t>9</w:t>
    </w:r>
    <w:r>
      <w:rPr>
        <w:rFonts w:ascii="Arial" w:hAnsi="Arial" w:cs="Arial"/>
        <w:b/>
        <w:bCs/>
        <w:color w:val="44599B"/>
      </w:rPr>
      <w:t>年度质量报告</w:t>
    </w:r>
    <w:r>
      <w:rPr>
        <w:rFonts w:hint="eastAsia" w:ascii="Arial" w:hAnsi="Arial" w:cs="Arial"/>
        <w:b/>
        <w:bCs/>
        <w:color w:val="44599B"/>
      </w:rPr>
      <w:t xml:space="preserve"> </w:t>
    </w:r>
  </w:p>
  <w:p>
    <w:pPr>
      <w:pStyle w:val="6"/>
      <w:ind w:firstLine="7020" w:firstLineChars="3900"/>
      <w:rPr>
        <w:rFonts w:ascii="Arial" w:hAnsi="Arial" w:cs="Arial"/>
      </w:rPr>
    </w:pPr>
  </w:p>
  <w:p>
    <w:pPr>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641" w:firstLineChars="355"/>
      <w:rPr>
        <w:rFonts w:ascii="Arial" w:hAnsi="Arial" w:cs="Arial"/>
        <w:b/>
        <w:bCs/>
        <w:color w:val="44599B"/>
      </w:rPr>
    </w:pPr>
  </w:p>
  <w:p>
    <w:pPr>
      <w:pStyle w:val="6"/>
      <w:ind w:firstLine="639" w:firstLineChars="355"/>
      <w:rPr>
        <w:rFonts w:hint="eastAsia" w:ascii="Arial" w:hAnsi="Arial" w:cs="Arial"/>
        <w:b/>
        <w:bCs/>
        <w:color w:val="44599B"/>
      </w:rPr>
    </w:pPr>
    <w:r>
      <mc:AlternateContent>
        <mc:Choice Requires="wps">
          <w:drawing>
            <wp:anchor distT="0" distB="0" distL="114300" distR="114300" simplePos="0" relativeHeight="251669504" behindDoc="0" locked="0" layoutInCell="1" allowOverlap="1">
              <wp:simplePos x="0" y="0"/>
              <wp:positionH relativeFrom="column">
                <wp:posOffset>1442085</wp:posOffset>
              </wp:positionH>
              <wp:positionV relativeFrom="paragraph">
                <wp:posOffset>126365</wp:posOffset>
              </wp:positionV>
              <wp:extent cx="5230495" cy="0"/>
              <wp:effectExtent l="0" t="0" r="0" b="0"/>
              <wp:wrapNone/>
              <wp:docPr id="54" name="直接连接符 54"/>
              <wp:cNvGraphicFramePr/>
              <a:graphic xmlns:a="http://schemas.openxmlformats.org/drawingml/2006/main">
                <a:graphicData uri="http://schemas.microsoft.com/office/word/2010/wordprocessingShape">
                  <wps:wsp>
                    <wps:cNvCnPr/>
                    <wps:spPr>
                      <a:xfrm flipH="true">
                        <a:off x="0" y="0"/>
                        <a:ext cx="5230495" cy="0"/>
                      </a:xfrm>
                      <a:prstGeom prst="line">
                        <a:avLst/>
                      </a:prstGeom>
                      <a:ln>
                        <a:solidFill>
                          <a:srgbClr val="29177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13.55pt;margin-top:9.95pt;height:0pt;width:411.85pt;z-index:251669504;mso-width-relative:page;mso-height-relative:page;" filled="f" stroked="t" coordsize="21600,21600" o:gfxdata="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sN7I2dYAAAAKAQAA&#10;DwAAAAAAAAABACAAAAA4AAAAZHJzL2Rvd25yZXYueG1sUEsBAhQAFAAAAAgAh07iQADG88jMAQAA&#10;WwMAAA4AAAAAAAAAAQAgAAAAOwEAAGRycy9lMm9Eb2MueG1sUEsFBgAAAAAGAAYAWQEAAHkFAAAA&#10;AA==&#10;">
              <v:fill on="f" focussize="0,0"/>
              <v:stroke color="#291770 [3204]" joinstyle="round"/>
              <v:imagedata o:title=""/>
              <o:lock v:ext="edit" aspectratio="f"/>
            </v:line>
          </w:pict>
        </mc:Fallback>
      </mc:AlternateContent>
    </w:r>
    <w:r>
      <w:rPr>
        <w:rFonts w:ascii="Arial" w:hAnsi="Arial" w:cs="Arial"/>
      </w:rPr>
      <mc:AlternateContent>
        <mc:Choice Requires="wps">
          <w:drawing>
            <wp:anchor distT="0" distB="0" distL="113665" distR="113665" simplePos="0" relativeHeight="251665408" behindDoc="1" locked="0" layoutInCell="1" allowOverlap="1">
              <wp:simplePos x="0" y="0"/>
              <wp:positionH relativeFrom="column">
                <wp:posOffset>221615</wp:posOffset>
              </wp:positionH>
              <wp:positionV relativeFrom="paragraph">
                <wp:posOffset>-24130</wp:posOffset>
              </wp:positionV>
              <wp:extent cx="0" cy="224155"/>
              <wp:effectExtent l="0" t="0" r="19050" b="23495"/>
              <wp:wrapNone/>
              <wp:docPr id="8" name="直接连接符 14"/>
              <wp:cNvGraphicFramePr/>
              <a:graphic xmlns:a="http://schemas.openxmlformats.org/drawingml/2006/main">
                <a:graphicData uri="http://schemas.microsoft.com/office/word/2010/wordprocessingShape">
                  <wps:wsp>
                    <wps:cNvCnPr/>
                    <wps:spPr>
                      <a:xfrm>
                        <a:off x="0" y="0"/>
                        <a:ext cx="0" cy="224155"/>
                      </a:xfrm>
                      <a:prstGeom prst="line">
                        <a:avLst/>
                      </a:prstGeom>
                      <a:noFill/>
                      <a:ln w="12700" cap="flat" cmpd="sng" algn="ctr">
                        <a:solidFill>
                          <a:srgbClr val="44599B"/>
                        </a:solidFill>
                        <a:prstDash val="solid"/>
                      </a:ln>
                    </wps:spPr>
                    <wps:bodyPr/>
                  </wps:wsp>
                </a:graphicData>
              </a:graphic>
            </wp:anchor>
          </w:drawing>
        </mc:Choice>
        <mc:Fallback>
          <w:pict>
            <v:line id="直接连接符 14" o:spid="_x0000_s1026" o:spt="20" style="position:absolute;left:0pt;margin-left:17.45pt;margin-top:-1.9pt;height:17.65pt;width:0pt;z-index:-251651072;mso-width-relative:page;mso-height-relative:page;" filled="f" stroked="t" coordsize="21600,21600" o:gfxdata="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rRmYldMAAAAHAQAADwAAAAAAAAABACAAAAA4&#10;AAAAZHJzL2Rvd25yZXYueG1sUEsBAhQAFAAAAAgAh07iQH8WQ4TAAQAATQMAAA4AAAAAAAAAAQAg&#10;AAAAOAEAAGRycy9lMm9Eb2MueG1sUEsFBgAAAAAGAAYAWQEAAGoFAAAAAA==&#10;">
              <v:fill on="f" focussize="0,0"/>
              <v:stroke weight="1pt" color="#44599B" joinstyle="round"/>
              <v:imagedata o:title=""/>
              <o:lock v:ext="edit" aspectratio="f"/>
            </v:line>
          </w:pict>
        </mc:Fallback>
      </mc:AlternateContent>
    </w:r>
    <w:r>
      <w:rPr>
        <w:rFonts w:ascii="Arial" w:hAnsi="Arial" w:cs="Arial"/>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-7620</wp:posOffset>
              </wp:positionV>
              <wp:extent cx="155575" cy="160655"/>
              <wp:effectExtent l="0" t="0" r="10795" b="4445"/>
              <wp:wrapNone/>
              <wp:docPr id="6" name="文本框 34"/>
              <wp:cNvGraphicFramePr/>
              <a:graphic xmlns:a="http://schemas.openxmlformats.org/drawingml/2006/main">
                <a:graphicData uri="http://schemas.microsoft.com/office/word/2010/wordprocessingShape">
                  <wps:wsp>
                    <wps:cNvSpPr txBox="true"/>
                    <wps:spPr>
                      <a:xfrm>
                        <a:off x="0" y="0"/>
                        <a:ext cx="155575" cy="160655"/>
                      </a:xfrm>
                      <a:prstGeom prst="rect">
                        <a:avLst/>
                      </a:prstGeom>
                      <a:noFill/>
                      <a:ln w="6350">
                        <a:noFill/>
                      </a:ln>
                    </wps:spPr>
                    <wps:txbx>
                      <w:txbxContent>
                        <w:p>
                          <w:pPr>
                            <w:snapToGrid w:val="0"/>
                            <w:rPr>
                              <w:rFonts w:ascii="Arial" w:hAnsi="Arial" w:cs="Arial"/>
                              <w:color w:val="44599B"/>
                              <w:sz w:val="20"/>
                              <w:szCs w:val="20"/>
                            </w:rPr>
                          </w:pPr>
                          <w:r>
                            <w:rPr>
                              <w:rFonts w:ascii="Arial" w:hAnsi="Arial" w:cs="Arial"/>
                              <w:color w:val="44599B"/>
                              <w:sz w:val="22"/>
                              <w:szCs w:val="22"/>
                            </w:rPr>
                            <w:fldChar w:fldCharType="begin"/>
                          </w:r>
                          <w:r>
                            <w:rPr>
                              <w:rFonts w:ascii="Arial" w:hAnsi="Arial" w:cs="Arial"/>
                              <w:color w:val="44599B"/>
                              <w:sz w:val="22"/>
                              <w:szCs w:val="22"/>
                            </w:rPr>
                            <w:instrText xml:space="preserve"> PAGE  \* MERGEFORMAT </w:instrText>
                          </w:r>
                          <w:r>
                            <w:rPr>
                              <w:rFonts w:ascii="Arial" w:hAnsi="Arial" w:cs="Arial"/>
                              <w:color w:val="44599B"/>
                              <w:sz w:val="22"/>
                              <w:szCs w:val="22"/>
                            </w:rPr>
                            <w:fldChar w:fldCharType="separate"/>
                          </w:r>
                          <w:r>
                            <w:rPr>
                              <w:rFonts w:ascii="Arial" w:hAnsi="Arial" w:cs="Arial"/>
                              <w:color w:val="44599B"/>
                              <w:sz w:val="22"/>
                              <w:szCs w:val="22"/>
                            </w:rPr>
                            <w:t>58</w:t>
                          </w:r>
                          <w:r>
                            <w:rPr>
                              <w:rFonts w:ascii="Arial" w:hAnsi="Arial" w:cs="Arial"/>
                              <w:color w:val="44599B"/>
                              <w:sz w:val="22"/>
                              <w:szCs w:val="22"/>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34" o:spid="_x0000_s1026" o:spt="202" type="#_x0000_t202" style="position:absolute;left:0pt;margin-top:-0.6pt;height:12.65pt;width:12.25pt;mso-position-horizontal:outside;mso-position-horizontal-relative:margin;mso-wrap-style:none;z-index:251663360;mso-width-relative:page;mso-height-relative:page;" filled="f" stroked="f" coordsize="21600,21600" o:gfxdata="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iPqBodMAAAAFAQAADwAAAAAAAAABACAAAAA4AAAAZHJzL2Rvd25yZXYueG1sUEsBAhQA&#10;FAAAAAgAh07iQHHLcR0aAgAAGAQAAA4AAAAAAAAAAQAgAAAAOAEAAGRycy9lMm9Eb2MueG1sUEsF&#10;BgAAAAAGAAYAWQEAAMQFAAAAAA==&#10;">
              <v:fill on="f" focussize="0,0"/>
              <v:stroke on="f" weight="0.5pt"/>
              <v:imagedata o:title=""/>
              <o:lock v:ext="edit" aspectratio="f"/>
              <v:textbox inset="0mm,0mm,0mm,0mm" style="mso-fit-shape-to-text:t;">
                <w:txbxContent>
                  <w:p>
                    <w:pPr>
                      <w:snapToGrid w:val="0"/>
                      <w:rPr>
                        <w:rFonts w:ascii="Arial" w:hAnsi="Arial" w:cs="Arial"/>
                        <w:color w:val="44599B"/>
                        <w:sz w:val="20"/>
                        <w:szCs w:val="20"/>
                      </w:rPr>
                    </w:pPr>
                    <w:r>
                      <w:rPr>
                        <w:rFonts w:ascii="Arial" w:hAnsi="Arial" w:cs="Arial"/>
                        <w:color w:val="44599B"/>
                        <w:sz w:val="22"/>
                        <w:szCs w:val="22"/>
                      </w:rPr>
                      <w:fldChar w:fldCharType="begin"/>
                    </w:r>
                    <w:r>
                      <w:rPr>
                        <w:rFonts w:ascii="Arial" w:hAnsi="Arial" w:cs="Arial"/>
                        <w:color w:val="44599B"/>
                        <w:sz w:val="22"/>
                        <w:szCs w:val="22"/>
                      </w:rPr>
                      <w:instrText xml:space="preserve"> PAGE  \* MERGEFORMAT </w:instrText>
                    </w:r>
                    <w:r>
                      <w:rPr>
                        <w:rFonts w:ascii="Arial" w:hAnsi="Arial" w:cs="Arial"/>
                        <w:color w:val="44599B"/>
                        <w:sz w:val="22"/>
                        <w:szCs w:val="22"/>
                      </w:rPr>
                      <w:fldChar w:fldCharType="separate"/>
                    </w:r>
                    <w:r>
                      <w:rPr>
                        <w:rFonts w:ascii="Arial" w:hAnsi="Arial" w:cs="Arial"/>
                        <w:color w:val="44599B"/>
                        <w:sz w:val="22"/>
                        <w:szCs w:val="22"/>
                      </w:rPr>
                      <w:t>58</w:t>
                    </w:r>
                    <w:r>
                      <w:rPr>
                        <w:rFonts w:ascii="Arial" w:hAnsi="Arial" w:cs="Arial"/>
                        <w:color w:val="44599B"/>
                        <w:sz w:val="22"/>
                        <w:szCs w:val="22"/>
                      </w:rPr>
                      <w:fldChar w:fldCharType="end"/>
                    </w:r>
                  </w:p>
                </w:txbxContent>
              </v:textbox>
            </v:shape>
          </w:pict>
        </mc:Fallback>
      </mc:AlternateContent>
    </w:r>
    <w:r>
      <w:rPr>
        <w:rFonts w:ascii="Arial" w:hAnsi="Arial" w:cs="Arial"/>
        <w:b/>
        <w:bCs/>
        <w:color w:val="44599B"/>
      </w:rPr>
      <w:t>201</w:t>
    </w:r>
    <w:r>
      <w:rPr>
        <w:rFonts w:hint="eastAsia" w:ascii="Arial" w:hAnsi="Arial" w:cs="Arial"/>
        <w:b/>
        <w:bCs/>
        <w:color w:val="44599B"/>
        <w:lang w:val="en-US" w:eastAsia="zh-CN"/>
      </w:rPr>
      <w:t>9</w:t>
    </w:r>
    <w:r>
      <w:rPr>
        <w:rFonts w:ascii="Arial" w:hAnsi="Arial" w:cs="Arial"/>
        <w:b/>
        <w:bCs/>
        <w:color w:val="44599B"/>
      </w:rPr>
      <w:t>年度质量报告</w:t>
    </w:r>
    <w:r>
      <w:rPr>
        <w:rFonts w:hint="eastAsia" w:ascii="Arial" w:hAnsi="Arial" w:cs="Arial"/>
        <w:b/>
        <w:bCs/>
        <w:color w:val="44599B"/>
      </w:rPr>
      <w:t xml:space="preserve"> </w:t>
    </w:r>
  </w:p>
  <w:p>
    <w:pPr>
      <w:pStyle w:val="6"/>
      <w:ind w:firstLine="641" w:firstLineChars="355"/>
      <w:rPr>
        <w:rFonts w:hint="eastAsia" w:ascii="Arial" w:hAnsi="Arial" w:cs="Arial"/>
        <w:b/>
        <w:bCs/>
        <w:color w:val="44599B"/>
      </w:rPr>
    </w:pPr>
  </w:p>
  <w:p>
    <w:pPr>
      <w:pStyle w:val="6"/>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41605" cy="146050"/>
              <wp:effectExtent l="0" t="0" r="0" b="0"/>
              <wp:wrapNone/>
              <wp:docPr id="251" name="文本框 251"/>
              <wp:cNvGraphicFramePr/>
              <a:graphic xmlns:a="http://schemas.openxmlformats.org/drawingml/2006/main">
                <a:graphicData uri="http://schemas.microsoft.com/office/word/2010/wordprocessingShape">
                  <wps:wsp>
                    <wps:cNvSpPr txBox="true"/>
                    <wps:spPr>
                      <a:xfrm>
                        <a:off x="0" y="0"/>
                        <a:ext cx="141605" cy="146050"/>
                      </a:xfrm>
                      <a:prstGeom prst="rect">
                        <a:avLst/>
                      </a:prstGeom>
                      <a:noFill/>
                      <a:ln w="6350">
                        <a:noFill/>
                      </a:ln>
                    </wps:spPr>
                    <wps:txbx>
                      <w:txbxContent>
                        <w:p>
                          <w:pPr>
                            <w:snapToGrid w:val="0"/>
                            <w:rPr>
                              <w:rFonts w:ascii="Arial" w:hAnsi="Arial" w:cs="Arial"/>
                              <w:sz w:val="20"/>
                              <w:szCs w:val="20"/>
                            </w:rPr>
                          </w:pPr>
                          <w:r>
                            <w:rPr>
                              <w:rFonts w:ascii="Arial" w:hAnsi="Arial" w:cs="Arial"/>
                              <w:color w:val="FFFFFF" w:themeColor="background1"/>
                              <w:sz w:val="20"/>
                              <w:szCs w:val="20"/>
                              <w14:textFill>
                                <w14:solidFill>
                                  <w14:schemeClr w14:val="bg1"/>
                                </w14:solidFill>
                              </w14:textFill>
                            </w:rPr>
                            <w:fldChar w:fldCharType="begin"/>
                          </w:r>
                          <w:r>
                            <w:rPr>
                              <w:rFonts w:ascii="Arial" w:hAnsi="Arial" w:cs="Arial"/>
                              <w:color w:val="FFFFFF" w:themeColor="background1"/>
                              <w:sz w:val="20"/>
                              <w:szCs w:val="20"/>
                              <w14:textFill>
                                <w14:solidFill>
                                  <w14:schemeClr w14:val="bg1"/>
                                </w14:solidFill>
                              </w14:textFill>
                            </w:rPr>
                            <w:instrText xml:space="preserve"> PAGE  \* MERGEFORMAT </w:instrText>
                          </w:r>
                          <w:r>
                            <w:rPr>
                              <w:rFonts w:ascii="Arial" w:hAnsi="Arial" w:cs="Arial"/>
                              <w:color w:val="FFFFFF" w:themeColor="background1"/>
                              <w:sz w:val="20"/>
                              <w:szCs w:val="20"/>
                              <w14:textFill>
                                <w14:solidFill>
                                  <w14:schemeClr w14:val="bg1"/>
                                </w14:solidFill>
                              </w14:textFill>
                            </w:rPr>
                            <w:fldChar w:fldCharType="separate"/>
                          </w:r>
                          <w:r>
                            <w:rPr>
                              <w:rFonts w:ascii="Arial" w:hAnsi="Arial" w:cs="Arial"/>
                              <w:color w:val="FFFFFF" w:themeColor="background1"/>
                              <w:sz w:val="20"/>
                              <w:szCs w:val="20"/>
                              <w14:textFill>
                                <w14:solidFill>
                                  <w14:schemeClr w14:val="bg1"/>
                                </w14:solidFill>
                              </w14:textFill>
                            </w:rPr>
                            <w:t>58</w:t>
                          </w:r>
                          <w:r>
                            <w:rPr>
                              <w:rFonts w:ascii="Arial" w:hAnsi="Arial" w:cs="Arial"/>
                              <w:color w:val="FFFFFF" w:themeColor="background1"/>
                              <w:sz w:val="20"/>
                              <w:szCs w:val="20"/>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1.5pt;width:11.15pt;mso-position-horizontal:outside;mso-position-horizontal-relative:margin;mso-wrap-style:none;z-index:251667456;mso-width-relative:page;mso-height-relative:page;" filled="f" stroked="f" coordsize="21600,21600" o:gfxdata="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GFUi5tEAAAADAQAADwAAAAAAAAABACAAAAA4AAAAZHJzL2Rvd25yZXYueG1sUEsBAhQAFAAA&#10;AAgAh07iQFbVJ9QZAgAAGwQAAA4AAAAAAAAAAQAgAAAANgEAAGRycy9lMm9Eb2MueG1sUEsFBgAA&#10;AAAGAAYAWQEAAMEFAAAAAA==&#10;">
              <v:fill on="f" focussize="0,0"/>
              <v:stroke on="f" weight="0.5pt"/>
              <v:imagedata o:title=""/>
              <o:lock v:ext="edit" aspectratio="f"/>
              <v:textbox inset="0mm,0mm,0mm,0mm" style="mso-fit-shape-to-text:t;">
                <w:txbxContent>
                  <w:p>
                    <w:pPr>
                      <w:snapToGrid w:val="0"/>
                      <w:rPr>
                        <w:rFonts w:ascii="Arial" w:hAnsi="Arial" w:cs="Arial"/>
                        <w:sz w:val="20"/>
                        <w:szCs w:val="20"/>
                      </w:rPr>
                    </w:pPr>
                    <w:r>
                      <w:rPr>
                        <w:rFonts w:ascii="Arial" w:hAnsi="Arial" w:cs="Arial"/>
                        <w:color w:val="FFFFFF" w:themeColor="background1"/>
                        <w:sz w:val="20"/>
                        <w:szCs w:val="20"/>
                        <w14:textFill>
                          <w14:solidFill>
                            <w14:schemeClr w14:val="bg1"/>
                          </w14:solidFill>
                        </w14:textFill>
                      </w:rPr>
                      <w:fldChar w:fldCharType="begin"/>
                    </w:r>
                    <w:r>
                      <w:rPr>
                        <w:rFonts w:ascii="Arial" w:hAnsi="Arial" w:cs="Arial"/>
                        <w:color w:val="FFFFFF" w:themeColor="background1"/>
                        <w:sz w:val="20"/>
                        <w:szCs w:val="20"/>
                        <w14:textFill>
                          <w14:solidFill>
                            <w14:schemeClr w14:val="bg1"/>
                          </w14:solidFill>
                        </w14:textFill>
                      </w:rPr>
                      <w:instrText xml:space="preserve"> PAGE  \* MERGEFORMAT </w:instrText>
                    </w:r>
                    <w:r>
                      <w:rPr>
                        <w:rFonts w:ascii="Arial" w:hAnsi="Arial" w:cs="Arial"/>
                        <w:color w:val="FFFFFF" w:themeColor="background1"/>
                        <w:sz w:val="20"/>
                        <w:szCs w:val="20"/>
                        <w14:textFill>
                          <w14:solidFill>
                            <w14:schemeClr w14:val="bg1"/>
                          </w14:solidFill>
                        </w14:textFill>
                      </w:rPr>
                      <w:fldChar w:fldCharType="separate"/>
                    </w:r>
                    <w:r>
                      <w:rPr>
                        <w:rFonts w:ascii="Arial" w:hAnsi="Arial" w:cs="Arial"/>
                        <w:color w:val="FFFFFF" w:themeColor="background1"/>
                        <w:sz w:val="20"/>
                        <w:szCs w:val="20"/>
                        <w14:textFill>
                          <w14:solidFill>
                            <w14:schemeClr w14:val="bg1"/>
                          </w14:solidFill>
                        </w14:textFill>
                      </w:rPr>
                      <w:t>58</w:t>
                    </w:r>
                    <w:r>
                      <w:rPr>
                        <w:rFonts w:ascii="Arial" w:hAnsi="Arial" w:cs="Arial"/>
                        <w:color w:val="FFFFFF" w:themeColor="background1"/>
                        <w:sz w:val="20"/>
                        <w:szCs w:val="20"/>
                        <w14:textFill>
                          <w14:solidFill>
                            <w14:schemeClr w14:val="bg1"/>
                          </w14:solidFill>
                        </w14:textFill>
                      </w:rPr>
                      <w:fldChar w:fldCharType="end"/>
                    </w: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893"/>
      </w:tabs>
      <w:jc w:val="left"/>
      <w:rPr>
        <w:rFonts w:ascii="微软雅黑" w:hAnsi="微软雅黑" w:eastAsia="微软雅黑" w:cs="微软雅黑"/>
        <w:sz w:val="15"/>
        <w:szCs w:val="32"/>
      </w:rPr>
    </w:pPr>
    <w:r>
      <w:rPr>
        <w:rFonts w:hint="eastAsia" w:ascii="微软雅黑" w:hAnsi="微软雅黑" w:eastAsia="微软雅黑" w:cs="微软雅黑"/>
        <w:sz w:val="32"/>
        <w:szCs w:val="32"/>
      </w:rPr>
      <w:tab/>
    </w:r>
  </w:p>
  <w:p>
    <w:pPr>
      <w:jc w:val="center"/>
      <w:rPr>
        <w:rFonts w:ascii="微软雅黑" w:hAnsi="微软雅黑" w:eastAsia="微软雅黑" w:cs="微软雅黑"/>
        <w:color w:val="0067B1"/>
        <w:sz w:val="15"/>
        <w:szCs w:val="32"/>
      </w:rPr>
    </w:pPr>
    <w:r>
      <w:rPr>
        <w:rFonts w:hint="eastAsia" w:ascii="微软雅黑" w:hAnsi="微软雅黑" w:eastAsia="微软雅黑" w:cs="微软雅黑"/>
        <w:color w:val="0067B1"/>
        <w:sz w:val="15"/>
        <w:szCs w:val="32"/>
      </w:rPr>
      <w:t xml:space="preserve">          </w:t>
    </w:r>
  </w:p>
  <w:p>
    <w:pPr>
      <w:jc w:val="center"/>
    </w:pPr>
    <w:r>
      <w:rPr>
        <w:rFonts w:hint="eastAsia" w:ascii="微软雅黑" w:hAnsi="微软雅黑" w:eastAsia="微软雅黑" w:cs="微软雅黑"/>
        <w:color w:val="0067B1"/>
        <w:sz w:val="32"/>
        <w:szCs w:val="32"/>
      </w:rPr>
      <w:t xml:space="preserve">                           </w:t>
    </w:r>
    <w:r>
      <w:rPr>
        <w:rFonts w:hint="eastAsia" w:ascii="微软雅黑" w:hAnsi="微软雅黑" w:eastAsia="微软雅黑" w:cs="微软雅黑"/>
        <w:color w:val="23297A"/>
        <w:sz w:val="32"/>
        <w:szCs w:val="32"/>
      </w:rPr>
      <w:t xml:space="preserve"> </w:t>
    </w:r>
    <w:r>
      <w:rPr>
        <w:rFonts w:hint="eastAsia" w:ascii="微软雅黑" w:hAnsi="微软雅黑" w:eastAsia="微软雅黑" w:cs="微软雅黑"/>
        <w:color w:val="0067B1"/>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893"/>
      </w:tabs>
      <w:jc w:val="left"/>
      <w:rPr>
        <w:rFonts w:ascii="微软雅黑" w:hAnsi="微软雅黑" w:eastAsia="微软雅黑" w:cs="微软雅黑"/>
        <w:sz w:val="32"/>
        <w:szCs w:val="32"/>
      </w:rPr>
    </w:pPr>
    <w:r>
      <w:rPr>
        <w:rFonts w:hint="eastAsia" w:ascii="微软雅黑" w:hAnsi="微软雅黑" w:eastAsia="微软雅黑" w:cs="微软雅黑"/>
        <w:sz w:val="32"/>
        <w:szCs w:val="32"/>
      </w:rPr>
      <w:tab/>
    </w:r>
  </w:p>
  <w:p>
    <w:pPr>
      <w:jc w:val="center"/>
      <w:rPr>
        <w:rFonts w:ascii="微软雅黑" w:hAnsi="微软雅黑" w:eastAsia="微软雅黑" w:cs="微软雅黑"/>
        <w:color w:val="0067B1"/>
        <w:sz w:val="32"/>
        <w:szCs w:val="32"/>
      </w:rPr>
    </w:pPr>
    <w:r>
      <w:rPr>
        <w:rFonts w:hint="eastAsia" w:ascii="微软雅黑" w:hAnsi="微软雅黑" w:eastAsia="微软雅黑" w:cs="微软雅黑"/>
        <w:color w:val="0067B1"/>
        <w:sz w:val="32"/>
        <w:szCs w:val="32"/>
      </w:rPr>
      <w:drawing>
        <wp:anchor distT="0" distB="0" distL="114300" distR="114300" simplePos="0" relativeHeight="251660288" behindDoc="0" locked="0" layoutInCell="1" allowOverlap="1">
          <wp:simplePos x="0" y="0"/>
          <wp:positionH relativeFrom="column">
            <wp:posOffset>5229860</wp:posOffset>
          </wp:positionH>
          <wp:positionV relativeFrom="paragraph">
            <wp:posOffset>146685</wp:posOffset>
          </wp:positionV>
          <wp:extent cx="467995" cy="453390"/>
          <wp:effectExtent l="0" t="0" r="8255" b="3810"/>
          <wp:wrapNone/>
          <wp:docPr id="27" name="图片 27" descr="1454254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145425454"/>
                  <pic:cNvPicPr>
                    <a:picLocks noChangeAspect="true"/>
                  </pic:cNvPicPr>
                </pic:nvPicPr>
                <pic:blipFill>
                  <a:blip r:embed="rId1"/>
                  <a:srcRect l="79675"/>
                  <a:stretch>
                    <a:fillRect/>
                  </a:stretch>
                </pic:blipFill>
                <pic:spPr>
                  <a:xfrm>
                    <a:off x="0" y="0"/>
                    <a:ext cx="467995" cy="453390"/>
                  </a:xfrm>
                  <a:prstGeom prst="rect">
                    <a:avLst/>
                  </a:prstGeom>
                </pic:spPr>
              </pic:pic>
            </a:graphicData>
          </a:graphic>
        </wp:anchor>
      </w:drawing>
    </w:r>
    <w:r>
      <w:rPr>
        <w:rFonts w:hint="eastAsia" w:ascii="微软雅黑" w:hAnsi="微软雅黑" w:eastAsia="微软雅黑" w:cs="微软雅黑"/>
        <w:sz w:val="32"/>
        <w:szCs w:val="32"/>
      </w:rPr>
      <w:drawing>
        <wp:anchor distT="0" distB="0" distL="114300" distR="114300" simplePos="0" relativeHeight="251662336" behindDoc="0" locked="0" layoutInCell="1" allowOverlap="1">
          <wp:simplePos x="0" y="0"/>
          <wp:positionH relativeFrom="column">
            <wp:posOffset>3437890</wp:posOffset>
          </wp:positionH>
          <wp:positionV relativeFrom="page">
            <wp:posOffset>859155</wp:posOffset>
          </wp:positionV>
          <wp:extent cx="1804035" cy="156845"/>
          <wp:effectExtent l="0" t="0" r="5715" b="14605"/>
          <wp:wrapNone/>
          <wp:docPr id="23" name="图片 23" descr="C:\Users\Administrator\Desktop\阿坝州质量年报.jpg阿坝州质量年报"/>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阿坝州质量年报.jpg阿坝州质量年报"/>
                  <pic:cNvPicPr>
                    <a:picLocks noChangeAspect="true"/>
                  </pic:cNvPicPr>
                </pic:nvPicPr>
                <pic:blipFill>
                  <a:blip r:embed="rId2"/>
                  <a:srcRect/>
                  <a:stretch>
                    <a:fillRect/>
                  </a:stretch>
                </pic:blipFill>
                <pic:spPr>
                  <a:xfrm>
                    <a:off x="0" y="0"/>
                    <a:ext cx="1804035" cy="156845"/>
                  </a:xfrm>
                  <a:prstGeom prst="rect">
                    <a:avLst/>
                  </a:prstGeom>
                </pic:spPr>
              </pic:pic>
            </a:graphicData>
          </a:graphic>
        </wp:anchor>
      </w:drawing>
    </w:r>
    <w:r>
      <w:rPr>
        <w:rFonts w:hint="eastAsia" w:ascii="微软雅黑" w:hAnsi="微软雅黑" w:eastAsia="微软雅黑" w:cs="微软雅黑"/>
        <w:color w:val="0067B1"/>
        <w:sz w:val="32"/>
        <w:szCs w:val="32"/>
      </w:rPr>
      <w:t xml:space="preserve">          </w:t>
    </w:r>
  </w:p>
  <w:p>
    <w:pPr>
      <w:jc w:val="center"/>
      <w:rPr>
        <w:rFonts w:ascii="微软雅黑" w:hAnsi="微软雅黑" w:eastAsia="微软雅黑" w:cs="微软雅黑"/>
        <w:color w:val="0067B1"/>
        <w:sz w:val="24"/>
      </w:rPr>
    </w:pPr>
    <w:r>
      <w:rPr>
        <w:rFonts w:hint="eastAsia" w:ascii="微软雅黑" w:hAnsi="微软雅黑" w:eastAsia="微软雅黑" w:cs="微软雅黑"/>
        <w:color w:val="0067B1"/>
        <w:sz w:val="32"/>
        <w:szCs w:val="32"/>
      </w:rPr>
      <w:t xml:space="preserve">                           </w:t>
    </w:r>
    <w:r>
      <w:rPr>
        <w:rFonts w:hint="eastAsia" w:ascii="微软雅黑" w:hAnsi="微软雅黑" w:eastAsia="微软雅黑" w:cs="微软雅黑"/>
        <w:color w:val="23297A"/>
        <w:sz w:val="32"/>
        <w:szCs w:val="32"/>
      </w:rPr>
      <w:t xml:space="preserve">  </w:t>
    </w:r>
    <w:r>
      <w:rPr>
        <w:rFonts w:hint="eastAsia" w:ascii="微软雅黑" w:hAnsi="微软雅黑" w:eastAsia="微软雅黑" w:cs="微软雅黑"/>
        <w:color w:val="42538F"/>
        <w:sz w:val="24"/>
      </w:rPr>
      <w:t>阿坝州中等职业技术学校</w:t>
    </w:r>
    <w:r>
      <w:rPr>
        <w:rFonts w:hint="eastAsia" w:ascii="微软雅黑" w:hAnsi="微软雅黑" w:eastAsia="微软雅黑" w:cs="微软雅黑"/>
        <w:color w:val="0067B1"/>
        <w:sz w:val="32"/>
        <w:szCs w:val="32"/>
      </w:rPr>
      <w:t xml:space="preserve">     </w:t>
    </w:r>
    <w:r>
      <w:rPr>
        <w:rFonts w:hint="eastAsia" w:ascii="微软雅黑" w:hAnsi="微软雅黑" w:eastAsia="微软雅黑" w:cs="微软雅黑"/>
        <w:color w:val="0067B1"/>
        <w:sz w:val="24"/>
      </w:rPr>
      <w:t xml:space="preserve">  </w:t>
    </w:r>
  </w:p>
  <w:p>
    <w:pPr>
      <w:jc w:val="center"/>
    </w:pPr>
    <w:r>
      <w:rPr>
        <w:rFonts w:hint="eastAsia" w:ascii="微软雅黑" w:hAnsi="微软雅黑" w:eastAsia="微软雅黑" w:cs="微软雅黑"/>
        <w:color w:val="0067B1"/>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rPr>
        <w:rFonts w:hint="eastAsia"/>
      </w:rPr>
      <w:drawing>
        <wp:anchor distT="0" distB="0" distL="114300" distR="114300" simplePos="0" relativeHeight="251661312" behindDoc="0" locked="0" layoutInCell="1" allowOverlap="1">
          <wp:simplePos x="0" y="0"/>
          <wp:positionH relativeFrom="column">
            <wp:posOffset>14605</wp:posOffset>
          </wp:positionH>
          <wp:positionV relativeFrom="paragraph">
            <wp:posOffset>629920</wp:posOffset>
          </wp:positionV>
          <wp:extent cx="1905000" cy="292735"/>
          <wp:effectExtent l="0" t="0" r="0" b="0"/>
          <wp:wrapNone/>
          <wp:docPr id="29" name="图片 29" descr="5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551"/>
                  <pic:cNvPicPr>
                    <a:picLocks noChangeAspect="true"/>
                  </pic:cNvPicPr>
                </pic:nvPicPr>
                <pic:blipFill>
                  <a:blip r:embed="rId1"/>
                  <a:stretch>
                    <a:fillRect/>
                  </a:stretch>
                </pic:blipFill>
                <pic:spPr>
                  <a:xfrm>
                    <a:off x="0" y="0"/>
                    <a:ext cx="1908012" cy="2931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5C5352"/>
    <w:multiLevelType w:val="multilevel"/>
    <w:tmpl w:val="475C5352"/>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C65622D"/>
    <w:multiLevelType w:val="multilevel"/>
    <w:tmpl w:val="5C65622D"/>
    <w:lvl w:ilvl="0" w:tentative="0">
      <w:start w:val="1"/>
      <w:numFmt w:val="japaneseCounting"/>
      <w:pStyle w:val="20"/>
      <w:lvlText w:val="%1、"/>
      <w:lvlJc w:val="left"/>
      <w:pPr>
        <w:tabs>
          <w:tab w:val="left" w:pos="720"/>
        </w:tabs>
        <w:ind w:left="720" w:hanging="720"/>
      </w:pPr>
      <w:rPr>
        <w:rFonts w:hint="default"/>
      </w:rPr>
    </w:lvl>
    <w:lvl w:ilvl="1" w:tentative="0">
      <w:start w:val="1"/>
      <w:numFmt w:val="decimal"/>
      <w:lvlText w:val="%2."/>
      <w:lvlJc w:val="left"/>
      <w:pPr>
        <w:tabs>
          <w:tab w:val="left" w:pos="1275"/>
        </w:tabs>
        <w:ind w:left="1275" w:hanging="855"/>
      </w:pPr>
      <w:rPr>
        <w:rFonts w:hint="default"/>
      </w:rPr>
    </w:lvl>
    <w:lvl w:ilvl="2" w:tentative="0">
      <w:start w:val="1"/>
      <w:numFmt w:val="lowerLetter"/>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displayBackgroundShape w:val="true"/>
  <w:bordersDoNotSurroundHeader w:val="false"/>
  <w:bordersDoNotSurroundFooter w:val="false"/>
  <w:documentProtection w:enforcement="0"/>
  <w:defaultTabStop w:val="420"/>
  <w:evenAndOddHeaders w:val="true"/>
  <w:drawingGridVerticalSpacing w:val="158"/>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76A"/>
    <w:rsid w:val="00166365"/>
    <w:rsid w:val="001B74A5"/>
    <w:rsid w:val="002640D2"/>
    <w:rsid w:val="002B4E16"/>
    <w:rsid w:val="002D7AA1"/>
    <w:rsid w:val="003112AC"/>
    <w:rsid w:val="00332BA7"/>
    <w:rsid w:val="0035776A"/>
    <w:rsid w:val="004E5FC0"/>
    <w:rsid w:val="005665C3"/>
    <w:rsid w:val="005B748D"/>
    <w:rsid w:val="005D44A5"/>
    <w:rsid w:val="006A58CC"/>
    <w:rsid w:val="007255F3"/>
    <w:rsid w:val="00740E7E"/>
    <w:rsid w:val="008106DD"/>
    <w:rsid w:val="00854C55"/>
    <w:rsid w:val="009A3519"/>
    <w:rsid w:val="009D7A90"/>
    <w:rsid w:val="00AA32B7"/>
    <w:rsid w:val="00AF1DC3"/>
    <w:rsid w:val="00B414CF"/>
    <w:rsid w:val="00B91C19"/>
    <w:rsid w:val="00BB7A4B"/>
    <w:rsid w:val="00C615B5"/>
    <w:rsid w:val="00C723F7"/>
    <w:rsid w:val="00C77B40"/>
    <w:rsid w:val="00D01965"/>
    <w:rsid w:val="00D31DC7"/>
    <w:rsid w:val="0184302B"/>
    <w:rsid w:val="02322D35"/>
    <w:rsid w:val="02A57F2B"/>
    <w:rsid w:val="02BD5AEA"/>
    <w:rsid w:val="02DA59AB"/>
    <w:rsid w:val="02EC236E"/>
    <w:rsid w:val="02FD3F44"/>
    <w:rsid w:val="04BB3C88"/>
    <w:rsid w:val="06694E10"/>
    <w:rsid w:val="06DB586E"/>
    <w:rsid w:val="06ED0ED7"/>
    <w:rsid w:val="078F655A"/>
    <w:rsid w:val="07AD35D5"/>
    <w:rsid w:val="07BD0B79"/>
    <w:rsid w:val="07C232DA"/>
    <w:rsid w:val="089255B6"/>
    <w:rsid w:val="0893151C"/>
    <w:rsid w:val="08C33526"/>
    <w:rsid w:val="092E0D19"/>
    <w:rsid w:val="09394163"/>
    <w:rsid w:val="0944157F"/>
    <w:rsid w:val="09942A2A"/>
    <w:rsid w:val="0AE670E8"/>
    <w:rsid w:val="0AF73399"/>
    <w:rsid w:val="0B4C3E58"/>
    <w:rsid w:val="0C136BE6"/>
    <w:rsid w:val="0D2267AA"/>
    <w:rsid w:val="0D8965FF"/>
    <w:rsid w:val="0DD94740"/>
    <w:rsid w:val="0F8C27A7"/>
    <w:rsid w:val="0FBB69F1"/>
    <w:rsid w:val="101E3CE6"/>
    <w:rsid w:val="10496A41"/>
    <w:rsid w:val="10607AFA"/>
    <w:rsid w:val="10EE7CCC"/>
    <w:rsid w:val="11063E83"/>
    <w:rsid w:val="110B531B"/>
    <w:rsid w:val="110E56E3"/>
    <w:rsid w:val="11110D6D"/>
    <w:rsid w:val="12983C48"/>
    <w:rsid w:val="13584D13"/>
    <w:rsid w:val="13810061"/>
    <w:rsid w:val="13AE1711"/>
    <w:rsid w:val="13C943F7"/>
    <w:rsid w:val="13F177A9"/>
    <w:rsid w:val="143F1C2E"/>
    <w:rsid w:val="146714F8"/>
    <w:rsid w:val="14CB4005"/>
    <w:rsid w:val="150A0F47"/>
    <w:rsid w:val="15E4234D"/>
    <w:rsid w:val="16392C1E"/>
    <w:rsid w:val="199C5B06"/>
    <w:rsid w:val="1A05587E"/>
    <w:rsid w:val="1A4073E1"/>
    <w:rsid w:val="1AA92B9B"/>
    <w:rsid w:val="1BBC28CF"/>
    <w:rsid w:val="1BC33B7F"/>
    <w:rsid w:val="1BD1373A"/>
    <w:rsid w:val="1C7343DC"/>
    <w:rsid w:val="1D202941"/>
    <w:rsid w:val="1D4F5336"/>
    <w:rsid w:val="1E8C7127"/>
    <w:rsid w:val="1EB4655D"/>
    <w:rsid w:val="1F434A23"/>
    <w:rsid w:val="1F7E580D"/>
    <w:rsid w:val="1F994405"/>
    <w:rsid w:val="1FC76B14"/>
    <w:rsid w:val="20AE065E"/>
    <w:rsid w:val="214E247A"/>
    <w:rsid w:val="21731526"/>
    <w:rsid w:val="21CF7CF1"/>
    <w:rsid w:val="21F7130C"/>
    <w:rsid w:val="22323473"/>
    <w:rsid w:val="22972CA9"/>
    <w:rsid w:val="22AD4B9B"/>
    <w:rsid w:val="23187CD7"/>
    <w:rsid w:val="236A40BA"/>
    <w:rsid w:val="23A2725E"/>
    <w:rsid w:val="255C4E53"/>
    <w:rsid w:val="25AF0DCE"/>
    <w:rsid w:val="25D35C1B"/>
    <w:rsid w:val="27281E54"/>
    <w:rsid w:val="27B32803"/>
    <w:rsid w:val="290E7553"/>
    <w:rsid w:val="29C141FD"/>
    <w:rsid w:val="2A141282"/>
    <w:rsid w:val="2A536F84"/>
    <w:rsid w:val="2A85497E"/>
    <w:rsid w:val="2B7B3E5B"/>
    <w:rsid w:val="2C6F3266"/>
    <w:rsid w:val="2E28512B"/>
    <w:rsid w:val="2E376B84"/>
    <w:rsid w:val="2E6F3007"/>
    <w:rsid w:val="2F600D7F"/>
    <w:rsid w:val="2FA21473"/>
    <w:rsid w:val="2FF56FAC"/>
    <w:rsid w:val="300843EC"/>
    <w:rsid w:val="30085FFF"/>
    <w:rsid w:val="30172C81"/>
    <w:rsid w:val="3095130E"/>
    <w:rsid w:val="30FF460F"/>
    <w:rsid w:val="31C45608"/>
    <w:rsid w:val="31D73669"/>
    <w:rsid w:val="322E5C2B"/>
    <w:rsid w:val="330C50E0"/>
    <w:rsid w:val="3328768C"/>
    <w:rsid w:val="33B371B4"/>
    <w:rsid w:val="345E1F1A"/>
    <w:rsid w:val="3474460D"/>
    <w:rsid w:val="3512384B"/>
    <w:rsid w:val="35271605"/>
    <w:rsid w:val="355568C2"/>
    <w:rsid w:val="35562F3F"/>
    <w:rsid w:val="363E56A4"/>
    <w:rsid w:val="36925206"/>
    <w:rsid w:val="37CC695A"/>
    <w:rsid w:val="37F83B85"/>
    <w:rsid w:val="381754DB"/>
    <w:rsid w:val="389577F6"/>
    <w:rsid w:val="38E759A8"/>
    <w:rsid w:val="38FE1636"/>
    <w:rsid w:val="399F267B"/>
    <w:rsid w:val="3ADD2F52"/>
    <w:rsid w:val="3AFB117A"/>
    <w:rsid w:val="3B097141"/>
    <w:rsid w:val="3BE655F7"/>
    <w:rsid w:val="3CC15B29"/>
    <w:rsid w:val="3CC337B4"/>
    <w:rsid w:val="3CDF10D9"/>
    <w:rsid w:val="3CFD09EC"/>
    <w:rsid w:val="3D004A1E"/>
    <w:rsid w:val="3EB34EEB"/>
    <w:rsid w:val="3F8246DE"/>
    <w:rsid w:val="405457A3"/>
    <w:rsid w:val="40A764D4"/>
    <w:rsid w:val="42CE5597"/>
    <w:rsid w:val="42FD723D"/>
    <w:rsid w:val="454201A6"/>
    <w:rsid w:val="45521364"/>
    <w:rsid w:val="455D667F"/>
    <w:rsid w:val="464B59C9"/>
    <w:rsid w:val="46D44E46"/>
    <w:rsid w:val="4761066E"/>
    <w:rsid w:val="47CF26E6"/>
    <w:rsid w:val="47D342FE"/>
    <w:rsid w:val="47FC2300"/>
    <w:rsid w:val="48662314"/>
    <w:rsid w:val="488D6619"/>
    <w:rsid w:val="48AC4E16"/>
    <w:rsid w:val="48C47F18"/>
    <w:rsid w:val="49AA5071"/>
    <w:rsid w:val="49B92BBD"/>
    <w:rsid w:val="4A65274D"/>
    <w:rsid w:val="4AB66DC6"/>
    <w:rsid w:val="4B29666E"/>
    <w:rsid w:val="4B5F5766"/>
    <w:rsid w:val="4B72621D"/>
    <w:rsid w:val="4BAA282F"/>
    <w:rsid w:val="4BAC76C6"/>
    <w:rsid w:val="4BCA1776"/>
    <w:rsid w:val="4D013DD4"/>
    <w:rsid w:val="4D5A09B7"/>
    <w:rsid w:val="4DCB4AEA"/>
    <w:rsid w:val="4E5950AB"/>
    <w:rsid w:val="4F4F06D6"/>
    <w:rsid w:val="4FF6402F"/>
    <w:rsid w:val="504E0377"/>
    <w:rsid w:val="50E217C7"/>
    <w:rsid w:val="5167461E"/>
    <w:rsid w:val="519F3054"/>
    <w:rsid w:val="521913B3"/>
    <w:rsid w:val="52B436EB"/>
    <w:rsid w:val="531B53B2"/>
    <w:rsid w:val="5354260E"/>
    <w:rsid w:val="54B336E2"/>
    <w:rsid w:val="55787062"/>
    <w:rsid w:val="56054457"/>
    <w:rsid w:val="56190AC5"/>
    <w:rsid w:val="56264985"/>
    <w:rsid w:val="5669137C"/>
    <w:rsid w:val="56C04B7F"/>
    <w:rsid w:val="57C3494E"/>
    <w:rsid w:val="57ED0320"/>
    <w:rsid w:val="58777C27"/>
    <w:rsid w:val="58FF01C5"/>
    <w:rsid w:val="59482CFD"/>
    <w:rsid w:val="596A5963"/>
    <w:rsid w:val="59B12E8B"/>
    <w:rsid w:val="5BE94CC9"/>
    <w:rsid w:val="5C47182C"/>
    <w:rsid w:val="5C507409"/>
    <w:rsid w:val="5DE02544"/>
    <w:rsid w:val="5DEA0A78"/>
    <w:rsid w:val="5EEE19AE"/>
    <w:rsid w:val="60225780"/>
    <w:rsid w:val="603C0D17"/>
    <w:rsid w:val="61660968"/>
    <w:rsid w:val="61926C83"/>
    <w:rsid w:val="61B66339"/>
    <w:rsid w:val="62EC63C3"/>
    <w:rsid w:val="63EF259E"/>
    <w:rsid w:val="64245A02"/>
    <w:rsid w:val="64BF25A8"/>
    <w:rsid w:val="64FA5ED3"/>
    <w:rsid w:val="65F456D5"/>
    <w:rsid w:val="66094FB5"/>
    <w:rsid w:val="661B36A7"/>
    <w:rsid w:val="66C34B57"/>
    <w:rsid w:val="672A7049"/>
    <w:rsid w:val="674B1B57"/>
    <w:rsid w:val="67864961"/>
    <w:rsid w:val="67BF2DB9"/>
    <w:rsid w:val="689E2E89"/>
    <w:rsid w:val="694B43AC"/>
    <w:rsid w:val="69531E44"/>
    <w:rsid w:val="699A11DA"/>
    <w:rsid w:val="69A91E5D"/>
    <w:rsid w:val="69BB3DBF"/>
    <w:rsid w:val="69C3180A"/>
    <w:rsid w:val="6A7A4B9D"/>
    <w:rsid w:val="6BCF0417"/>
    <w:rsid w:val="6D1C63E6"/>
    <w:rsid w:val="6DA86600"/>
    <w:rsid w:val="6E6426A6"/>
    <w:rsid w:val="6E9E3204"/>
    <w:rsid w:val="6EC646E0"/>
    <w:rsid w:val="6EF55E9F"/>
    <w:rsid w:val="6F5223C2"/>
    <w:rsid w:val="6F5E3CF1"/>
    <w:rsid w:val="6F6D4A2E"/>
    <w:rsid w:val="6FAA3BA9"/>
    <w:rsid w:val="704F4FFD"/>
    <w:rsid w:val="70917695"/>
    <w:rsid w:val="70970658"/>
    <w:rsid w:val="714A527D"/>
    <w:rsid w:val="71AA0F16"/>
    <w:rsid w:val="725139BD"/>
    <w:rsid w:val="7258059C"/>
    <w:rsid w:val="73177CFC"/>
    <w:rsid w:val="731B1D5A"/>
    <w:rsid w:val="736E4CA0"/>
    <w:rsid w:val="738B38FF"/>
    <w:rsid w:val="73CA4443"/>
    <w:rsid w:val="74715035"/>
    <w:rsid w:val="75AE5581"/>
    <w:rsid w:val="763A74A8"/>
    <w:rsid w:val="767236BC"/>
    <w:rsid w:val="771068B9"/>
    <w:rsid w:val="773C1193"/>
    <w:rsid w:val="775A60AF"/>
    <w:rsid w:val="77AF54C4"/>
    <w:rsid w:val="77E26C7D"/>
    <w:rsid w:val="78735578"/>
    <w:rsid w:val="78A5257D"/>
    <w:rsid w:val="78E8349B"/>
    <w:rsid w:val="797E4758"/>
    <w:rsid w:val="7A01733C"/>
    <w:rsid w:val="7A182533"/>
    <w:rsid w:val="7A4A05ED"/>
    <w:rsid w:val="7A605463"/>
    <w:rsid w:val="7AC20C0C"/>
    <w:rsid w:val="7C944411"/>
    <w:rsid w:val="7CD43D8B"/>
    <w:rsid w:val="7D0324E5"/>
    <w:rsid w:val="7D057734"/>
    <w:rsid w:val="7DCA218F"/>
    <w:rsid w:val="7EA11DE2"/>
    <w:rsid w:val="7EA96C28"/>
    <w:rsid w:val="7EF036AA"/>
    <w:rsid w:val="7FBD559B"/>
    <w:rsid w:val="7FC76E83"/>
    <w:rsid w:val="7FD55F22"/>
    <w:rsid w:val="7FE44C88"/>
    <w:rsid w:val="BE6F7A9A"/>
    <w:rsid w:val="FAFBF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9"/>
    <w:pPr>
      <w:keepNext/>
      <w:keepLines/>
      <w:spacing w:line="360" w:lineRule="auto"/>
      <w:ind w:firstLine="200" w:firstLineChars="200"/>
      <w:outlineLvl w:val="0"/>
    </w:pPr>
    <w:rPr>
      <w:rFonts w:eastAsia="黑体"/>
      <w:b/>
      <w:bCs/>
      <w:kern w:val="44"/>
      <w:sz w:val="30"/>
      <w:szCs w:val="44"/>
    </w:rPr>
  </w:style>
  <w:style w:type="paragraph" w:styleId="3">
    <w:name w:val="heading 2"/>
    <w:basedOn w:val="1"/>
    <w:next w:val="1"/>
    <w:link w:val="26"/>
    <w:unhideWhenUsed/>
    <w:qFormat/>
    <w:uiPriority w:val="9"/>
    <w:pPr>
      <w:keepNext/>
      <w:keepLines/>
      <w:spacing w:line="360" w:lineRule="auto"/>
      <w:ind w:firstLine="200" w:firstLineChars="200"/>
      <w:outlineLvl w:val="1"/>
    </w:pPr>
    <w:rPr>
      <w:rFonts w:eastAsia="黑体" w:asciiTheme="majorHAnsi" w:hAnsiTheme="majorHAnsi" w:cstheme="majorBidi"/>
      <w:b/>
      <w:bCs/>
      <w:sz w:val="28"/>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25"/>
    <w:unhideWhenUsed/>
    <w:qFormat/>
    <w:uiPriority w:val="99"/>
    <w:pPr>
      <w:ind w:left="100" w:leftChars="2500"/>
    </w:pPr>
  </w:style>
  <w:style w:type="paragraph" w:styleId="5">
    <w:name w:val="Balloon Text"/>
    <w:basedOn w:val="1"/>
    <w:link w:val="21"/>
    <w:unhideWhenUsed/>
    <w:qFormat/>
    <w:uiPriority w:val="99"/>
    <w:rPr>
      <w:sz w:val="18"/>
      <w:szCs w:val="18"/>
    </w:rPr>
  </w:style>
  <w:style w:type="paragraph" w:styleId="6">
    <w:name w:val="footer"/>
    <w:basedOn w:val="1"/>
    <w:link w:val="19"/>
    <w:unhideWhenUsed/>
    <w:qFormat/>
    <w:uiPriority w:val="0"/>
    <w:pPr>
      <w:tabs>
        <w:tab w:val="center" w:pos="4153"/>
        <w:tab w:val="right" w:pos="8306"/>
      </w:tabs>
      <w:snapToGrid w:val="0"/>
      <w:jc w:val="left"/>
    </w:pPr>
    <w:rPr>
      <w:sz w:val="18"/>
      <w:szCs w:val="18"/>
    </w:rPr>
  </w:style>
  <w:style w:type="paragraph" w:styleId="7">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rPr>
      <w:kern w:val="0"/>
      <w:szCs w:val="21"/>
    </w:rPr>
  </w:style>
  <w:style w:type="paragraph" w:styleId="9">
    <w:name w:val="toc 2"/>
    <w:basedOn w:val="1"/>
    <w:next w:val="1"/>
    <w:link w:val="22"/>
    <w:qFormat/>
    <w:uiPriority w:val="39"/>
    <w:pPr>
      <w:ind w:left="420"/>
    </w:pPr>
    <w:rPr>
      <w:b/>
      <w:bCs/>
      <w:kern w:val="0"/>
      <w:sz w:val="44"/>
      <w:szCs w:val="44"/>
    </w:rPr>
  </w:style>
  <w:style w:type="paragraph" w:styleId="10">
    <w:name w:val="Normal (Web)"/>
    <w:basedOn w:val="1"/>
    <w:qFormat/>
    <w:uiPriority w:val="0"/>
    <w:pPr>
      <w:widowControl/>
      <w:spacing w:before="100" w:beforeAutospacing="1" w:after="100" w:afterAutospacing="1"/>
      <w:jc w:val="left"/>
    </w:pPr>
    <w:rPr>
      <w:rFonts w:ascii="宋体" w:hAnsi="宋体" w:cs="宋体" w:eastAsiaTheme="minorEastAsia"/>
      <w:kern w:val="0"/>
      <w:sz w:val="24"/>
      <w:szCs w:val="22"/>
    </w:r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22"/>
    <w:rPr>
      <w:b/>
    </w:rPr>
  </w:style>
  <w:style w:type="character" w:styleId="15">
    <w:name w:val="page number"/>
    <w:basedOn w:val="13"/>
    <w:qFormat/>
    <w:uiPriority w:val="0"/>
  </w:style>
  <w:style w:type="character" w:styleId="16">
    <w:name w:val="Hyperlink"/>
    <w:basedOn w:val="13"/>
    <w:unhideWhenUsed/>
    <w:qFormat/>
    <w:uiPriority w:val="99"/>
    <w:rPr>
      <w:color w:val="0000FF" w:themeColor="hyperlink"/>
      <w:u w:val="single"/>
      <w14:textFill>
        <w14:solidFill>
          <w14:schemeClr w14:val="hlink"/>
        </w14:solidFill>
      </w14:textFill>
    </w:rPr>
  </w:style>
  <w:style w:type="character" w:customStyle="1" w:styleId="17">
    <w:name w:val="标题 1 字符"/>
    <w:basedOn w:val="13"/>
    <w:link w:val="2"/>
    <w:qFormat/>
    <w:uiPriority w:val="9"/>
    <w:rPr>
      <w:rFonts w:ascii="Times New Roman" w:hAnsi="Times New Roman" w:eastAsia="黑体" w:cs="Times New Roman"/>
      <w:b/>
      <w:bCs/>
      <w:kern w:val="44"/>
      <w:sz w:val="30"/>
      <w:szCs w:val="44"/>
    </w:rPr>
  </w:style>
  <w:style w:type="character" w:customStyle="1" w:styleId="18">
    <w:name w:val="页眉 字符"/>
    <w:basedOn w:val="13"/>
    <w:link w:val="7"/>
    <w:qFormat/>
    <w:uiPriority w:val="0"/>
    <w:rPr>
      <w:rFonts w:ascii="Times New Roman" w:hAnsi="Times New Roman" w:eastAsia="宋体" w:cs="Times New Roman"/>
      <w:sz w:val="18"/>
      <w:szCs w:val="18"/>
    </w:rPr>
  </w:style>
  <w:style w:type="character" w:customStyle="1" w:styleId="19">
    <w:name w:val="页脚 字符"/>
    <w:basedOn w:val="13"/>
    <w:link w:val="6"/>
    <w:qFormat/>
    <w:uiPriority w:val="0"/>
    <w:rPr>
      <w:rFonts w:ascii="Times New Roman" w:hAnsi="Times New Roman" w:eastAsia="宋体" w:cs="Times New Roman"/>
      <w:sz w:val="18"/>
      <w:szCs w:val="18"/>
    </w:rPr>
  </w:style>
  <w:style w:type="paragraph" w:customStyle="1" w:styleId="20">
    <w:name w:val="样式 (中文) 黑体 四号"/>
    <w:basedOn w:val="2"/>
    <w:qFormat/>
    <w:uiPriority w:val="0"/>
    <w:pPr>
      <w:numPr>
        <w:ilvl w:val="0"/>
        <w:numId w:val="1"/>
      </w:numPr>
      <w:spacing w:before="120" w:after="120" w:line="240" w:lineRule="auto"/>
    </w:pPr>
    <w:rPr>
      <w:sz w:val="28"/>
      <w:szCs w:val="28"/>
    </w:rPr>
  </w:style>
  <w:style w:type="character" w:customStyle="1" w:styleId="21">
    <w:name w:val="批注框文本 字符"/>
    <w:basedOn w:val="13"/>
    <w:link w:val="5"/>
    <w:semiHidden/>
    <w:qFormat/>
    <w:uiPriority w:val="99"/>
    <w:rPr>
      <w:rFonts w:ascii="Times New Roman" w:hAnsi="Times New Roman" w:eastAsia="宋体" w:cs="Times New Roman"/>
      <w:sz w:val="18"/>
      <w:szCs w:val="18"/>
    </w:rPr>
  </w:style>
  <w:style w:type="character" w:customStyle="1" w:styleId="22">
    <w:name w:val="TOC 2 字符"/>
    <w:basedOn w:val="13"/>
    <w:link w:val="9"/>
    <w:semiHidden/>
    <w:qFormat/>
    <w:locked/>
    <w:uiPriority w:val="0"/>
    <w:rPr>
      <w:rFonts w:ascii="Times New Roman" w:hAnsi="Times New Roman" w:eastAsia="宋体" w:cs="Times New Roman"/>
      <w:b/>
      <w:bCs/>
      <w:sz w:val="44"/>
      <w:szCs w:val="44"/>
    </w:rPr>
  </w:style>
  <w:style w:type="character" w:customStyle="1" w:styleId="23">
    <w:name w:val="索引链接"/>
    <w:qFormat/>
    <w:uiPriority w:val="0"/>
  </w:style>
  <w:style w:type="character" w:customStyle="1" w:styleId="24">
    <w:name w:val="不明显强调1"/>
    <w:basedOn w:val="13"/>
    <w:qFormat/>
    <w:uiPriority w:val="19"/>
    <w:rPr>
      <w:i/>
      <w:iCs/>
      <w:color w:val="808080" w:themeColor="text1" w:themeTint="80"/>
      <w14:textFill>
        <w14:solidFill>
          <w14:schemeClr w14:val="tx1">
            <w14:lumMod w14:val="50000"/>
            <w14:lumOff w14:val="50000"/>
          </w14:schemeClr>
        </w14:solidFill>
      </w14:textFill>
    </w:rPr>
  </w:style>
  <w:style w:type="character" w:customStyle="1" w:styleId="25">
    <w:name w:val="日期 字符"/>
    <w:basedOn w:val="13"/>
    <w:link w:val="4"/>
    <w:semiHidden/>
    <w:qFormat/>
    <w:uiPriority w:val="99"/>
    <w:rPr>
      <w:rFonts w:ascii="Times New Roman" w:hAnsi="Times New Roman" w:eastAsia="宋体" w:cs="Times New Roman"/>
      <w:kern w:val="2"/>
      <w:sz w:val="21"/>
      <w:szCs w:val="24"/>
    </w:rPr>
  </w:style>
  <w:style w:type="character" w:customStyle="1" w:styleId="26">
    <w:name w:val="标题 2 字符"/>
    <w:basedOn w:val="13"/>
    <w:link w:val="3"/>
    <w:qFormat/>
    <w:uiPriority w:val="9"/>
    <w:rPr>
      <w:rFonts w:eastAsia="黑体" w:asciiTheme="majorHAnsi" w:hAnsiTheme="majorHAnsi" w:cstheme="majorBidi"/>
      <w:b/>
      <w:bCs/>
      <w:kern w:val="2"/>
      <w:sz w:val="28"/>
      <w:szCs w:val="32"/>
    </w:rPr>
  </w:style>
  <w:style w:type="paragraph" w:customStyle="1" w:styleId="27">
    <w:name w:val="列表段落1"/>
    <w:basedOn w:val="1"/>
    <w:unhideWhenUsed/>
    <w:qFormat/>
    <w:uiPriority w:val="99"/>
    <w:pPr>
      <w:ind w:firstLine="420" w:firstLineChars="200"/>
    </w:pPr>
  </w:style>
  <w:style w:type="paragraph" w:customStyle="1" w:styleId="28">
    <w:name w:val="TOC 标题1"/>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9">
    <w:name w:val="引用1"/>
    <w:basedOn w:val="1"/>
    <w:next w:val="1"/>
    <w:link w:val="30"/>
    <w:qFormat/>
    <w:uiPriority w:val="29"/>
    <w:pPr>
      <w:widowControl/>
      <w:spacing w:after="200" w:line="276" w:lineRule="auto"/>
      <w:jc w:val="left"/>
    </w:pPr>
    <w:rPr>
      <w:rFonts w:asciiTheme="minorHAnsi" w:hAnsiTheme="minorHAnsi" w:eastAsiaTheme="minorEastAsia" w:cstheme="minorBidi"/>
      <w:i/>
      <w:iCs/>
      <w:color w:val="000000" w:themeColor="text1"/>
      <w:kern w:val="0"/>
      <w:sz w:val="22"/>
      <w:szCs w:val="22"/>
      <w14:textFill>
        <w14:solidFill>
          <w14:schemeClr w14:val="tx1"/>
        </w14:solidFill>
      </w14:textFill>
    </w:rPr>
  </w:style>
  <w:style w:type="character" w:customStyle="1" w:styleId="30">
    <w:name w:val="引用 Char"/>
    <w:basedOn w:val="13"/>
    <w:link w:val="29"/>
    <w:qFormat/>
    <w:uiPriority w:val="29"/>
    <w:rPr>
      <w:rFonts w:asciiTheme="minorHAnsi" w:hAnsiTheme="minorHAnsi" w:eastAsiaTheme="minorEastAsia" w:cstheme="minorBidi"/>
      <w:i/>
      <w:iCs/>
      <w:color w:val="000000" w:themeColor="text1"/>
      <w:sz w:val="22"/>
      <w:szCs w:val="22"/>
      <w14:textFill>
        <w14:solidFill>
          <w14:schemeClr w14:val="tx1"/>
        </w14:solidFill>
      </w14:textFill>
    </w:rPr>
  </w:style>
  <w:style w:type="paragraph" w:styleId="3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chart" Target="charts/chart11.xml"/><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chart" Target="charts/chart10.xml"/><Relationship Id="rId34" Type="http://schemas.openxmlformats.org/officeDocument/2006/relationships/chart" Target="charts/chart9.xml"/><Relationship Id="rId33" Type="http://schemas.openxmlformats.org/officeDocument/2006/relationships/chart" Target="charts/chart8.xml"/><Relationship Id="rId32" Type="http://schemas.openxmlformats.org/officeDocument/2006/relationships/chart" Target="charts/chart7.xml"/><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chart" Target="charts/chart6.xml"/><Relationship Id="rId26" Type="http://schemas.openxmlformats.org/officeDocument/2006/relationships/chart" Target="charts/chart5.xml"/><Relationship Id="rId25" Type="http://schemas.openxmlformats.org/officeDocument/2006/relationships/chart" Target="charts/chart4.xml"/><Relationship Id="rId24" Type="http://schemas.openxmlformats.org/officeDocument/2006/relationships/chart" Target="charts/chart3.xml"/><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10.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9.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2018年</c:v>
                </c:pt>
              </c:strCache>
            </c:strRef>
          </c:tx>
          <c:spPr>
            <a:gradFill rotWithShape="true">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false"/>
            </a:gradFill>
            <a:ln>
              <a:noFill/>
            </a:ln>
            <a:effectLst>
              <a:outerShdw blurRad="40000" dist="23000" dir="5400000" rotWithShape="0">
                <a:srgbClr val="000000">
                  <a:alpha val="35000"/>
                </a:srgbClr>
              </a:outerShdw>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Sheet1!$A$2:$A$4</c:f>
              <c:strCache>
                <c:ptCount val="3"/>
                <c:pt idx="0">
                  <c:v>在校生数</c:v>
                </c:pt>
                <c:pt idx="1">
                  <c:v>毕业生数</c:v>
                </c:pt>
                <c:pt idx="2">
                  <c:v>当年招生总数</c:v>
                </c:pt>
              </c:strCache>
            </c:strRef>
          </c:cat>
          <c:val>
            <c:numRef>
              <c:f>Sheet1!$B$2:$B$4</c:f>
              <c:numCache>
                <c:formatCode>General</c:formatCode>
                <c:ptCount val="3"/>
                <c:pt idx="0">
                  <c:v>978</c:v>
                </c:pt>
                <c:pt idx="1">
                  <c:v>167</c:v>
                </c:pt>
                <c:pt idx="2">
                  <c:v>273</c:v>
                </c:pt>
              </c:numCache>
            </c:numRef>
          </c:val>
        </c:ser>
        <c:ser>
          <c:idx val="1"/>
          <c:order val="1"/>
          <c:tx>
            <c:strRef>
              <c:f>Sheet1!$C$1</c:f>
              <c:strCache>
                <c:ptCount val="1"/>
                <c:pt idx="0">
                  <c:v>2019年</c:v>
                </c:pt>
              </c:strCache>
            </c:strRef>
          </c:tx>
          <c:spPr>
            <a:gradFill rotWithShape="true">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false"/>
            </a:gradFill>
            <a:ln>
              <a:noFill/>
            </a:ln>
            <a:effectLst>
              <a:outerShdw blurRad="40000" dist="23000" dir="5400000" rotWithShape="0">
                <a:srgbClr val="000000">
                  <a:alpha val="35000"/>
                </a:srgbClr>
              </a:outerShdw>
            </a:effectLst>
          </c:spPr>
          <c:invertIfNegative val="false"/>
          <c:dLbls>
            <c:dLbl>
              <c:idx val="0"/>
              <c:layout>
                <c:manualLayout>
                  <c:x val="0.00375601796743879"/>
                  <c:y val="-0.0364630811303555"/>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0433314873635945"/>
                  <c:y val="-0.016278708096766"/>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0163336494821737"/>
                  <c:y val="0"/>
                </c:manualLayout>
              </c:layout>
              <c:tx>
                <c:rich>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r>
                      <a:rPr lang="en-US" altLang="zh-CN"/>
                      <a:t>520</a:t>
                    </a:r>
                    <a:endParaRPr lang="en-US" altLang="zh-CN"/>
                  </a:p>
                </c:rich>
              </c:tx>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horzOverflow="overflow"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Sheet1!$A$2:$A$4</c:f>
              <c:strCache>
                <c:ptCount val="3"/>
                <c:pt idx="0">
                  <c:v>在校生数</c:v>
                </c:pt>
                <c:pt idx="1">
                  <c:v>毕业生数</c:v>
                </c:pt>
                <c:pt idx="2">
                  <c:v>当年招生总数</c:v>
                </c:pt>
              </c:strCache>
            </c:strRef>
          </c:cat>
          <c:val>
            <c:numRef>
              <c:f>Sheet1!$C$2:$C$4</c:f>
              <c:numCache>
                <c:formatCode>General</c:formatCode>
                <c:ptCount val="3"/>
                <c:pt idx="0">
                  <c:v>773</c:v>
                </c:pt>
                <c:pt idx="1">
                  <c:v>371</c:v>
                </c:pt>
                <c:pt idx="2">
                  <c:v>520</c:v>
                </c:pt>
              </c:numCache>
            </c:numRef>
          </c:val>
        </c:ser>
        <c:dLbls>
          <c:showLegendKey val="false"/>
          <c:showVal val="true"/>
          <c:showCatName val="false"/>
          <c:showSerName val="false"/>
          <c:showPercent val="false"/>
          <c:showBubbleSize val="false"/>
        </c:dLbls>
        <c:gapWidth val="150"/>
        <c:axId val="344880256"/>
        <c:axId val="344881792"/>
      </c:barChart>
      <c:catAx>
        <c:axId val="344880256"/>
        <c:scaling>
          <c:orientation val="minMax"/>
        </c:scaling>
        <c:delete val="false"/>
        <c:axPos val="b"/>
        <c:numFmt formatCode="General" sourceLinked="true"/>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horzOverflow="overflow" vert="horz" wrap="square" anchor="ctr" anchorCtr="true"/>
          <a:lstStyle/>
          <a:p>
            <a:pPr>
              <a:defRPr lang="zh-CN" sz="1000" b="0" i="0" u="none" strike="noStrike" kern="1200" baseline="0">
                <a:solidFill>
                  <a:schemeClr val="tx1"/>
                </a:solidFill>
                <a:latin typeface="+mn-lt"/>
                <a:ea typeface="+mn-ea"/>
                <a:cs typeface="+mn-cs"/>
              </a:defRPr>
            </a:pPr>
          </a:p>
        </c:txPr>
        <c:crossAx val="344881792"/>
        <c:crosses val="autoZero"/>
        <c:auto val="true"/>
        <c:lblAlgn val="ctr"/>
        <c:lblOffset val="100"/>
        <c:noMultiLvlLbl val="false"/>
      </c:catAx>
      <c:valAx>
        <c:axId val="344881792"/>
        <c:scaling>
          <c:orientation val="minMax"/>
        </c:scaling>
        <c:delete val="false"/>
        <c:axPos val="l"/>
        <c:majorGridlines>
          <c:spPr>
            <a:ln w="9525" cap="flat" cmpd="sng" algn="ctr">
              <a:solidFill>
                <a:schemeClr val="tx1">
                  <a:tint val="75000"/>
                  <a:shade val="95000"/>
                  <a:satMod val="105000"/>
                </a:schemeClr>
              </a:solidFill>
              <a:prstDash val="solid"/>
              <a:round/>
            </a:ln>
            <a:effectLst/>
          </c:spPr>
        </c:majorGridlines>
        <c:numFmt formatCode="General" sourceLinked="true"/>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horzOverflow="overflow" vert="horz" wrap="square" anchor="ctr" anchorCtr="true"/>
          <a:lstStyle/>
          <a:p>
            <a:pPr>
              <a:defRPr lang="zh-CN" sz="1000" b="0" i="0" u="none" strike="noStrike" kern="1200" baseline="0">
                <a:solidFill>
                  <a:schemeClr val="tx1"/>
                </a:solidFill>
                <a:latin typeface="+mn-lt"/>
                <a:ea typeface="+mn-ea"/>
                <a:cs typeface="+mn-cs"/>
              </a:defRPr>
            </a:pPr>
          </a:p>
        </c:txPr>
        <c:crossAx val="344880256"/>
        <c:crosses val="autoZero"/>
        <c:crossBetween val="between"/>
      </c:valAx>
      <c:spPr>
        <a:solidFill>
          <a:schemeClr val="bg1"/>
        </a:solidFill>
        <a:ln>
          <a:noFill/>
        </a:ln>
        <a:effectLst/>
      </c:spPr>
    </c:plotArea>
    <c:legend>
      <c:legendPos val="r"/>
      <c:layout/>
      <c:overlay val="false"/>
      <c:spPr>
        <a:noFill/>
        <a:ln>
          <a:noFill/>
        </a:ln>
        <a:effectLst/>
      </c:spPr>
      <c:txPr>
        <a:bodyPr rot="0" spcFirstLastPara="0" vertOverflow="ellipsis" horzOverflow="overflow" vert="horz" wrap="square" anchor="ctr" anchorCtr="true"/>
        <a:lstStyle/>
        <a:p>
          <a:pPr>
            <a:defRPr lang="zh-CN" sz="1000" b="0" i="0" u="none" strike="noStrike" kern="1200" baseline="0">
              <a:solidFill>
                <a:schemeClr val="tx1"/>
              </a:solidFill>
              <a:latin typeface="+mn-lt"/>
              <a:ea typeface="+mn-ea"/>
              <a:cs typeface="+mn-cs"/>
            </a:defRPr>
          </a:pPr>
        </a:p>
      </c:txPr>
    </c:legend>
    <c:plotVisOnly val="true"/>
    <c:dispBlanksAs val="gap"/>
    <c:showDLblsOverMax val="false"/>
  </c:chart>
  <c:spPr>
    <a:solidFill>
      <a:schemeClr val="bg1"/>
    </a:solidFill>
    <a:ln w="9525" cap="flat" cmpd="sng" algn="ctr">
      <a:noFill/>
      <a:prstDash val="solid"/>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388824000916066"/>
          <c:y val="0.0177777777777778"/>
          <c:w val="0.592110385892591"/>
          <c:h val="0.794382222222222"/>
        </c:manualLayout>
      </c:layout>
      <c:barChart>
        <c:barDir val="bar"/>
        <c:grouping val="clustered"/>
        <c:varyColors val="false"/>
        <c:ser>
          <c:idx val="0"/>
          <c:order val="0"/>
          <c:tx>
            <c:strRef>
              <c:f>Sheet1!$B$1</c:f>
              <c:strCache>
                <c:ptCount val="1"/>
                <c:pt idx="0">
                  <c:v>在校学生（人）</c:v>
                </c:pt>
              </c:strCache>
            </c:strRef>
          </c:tx>
          <c:spPr>
            <a:solidFill>
              <a:schemeClr val="accent1"/>
            </a:solidFill>
            <a:ln>
              <a:noFill/>
            </a:ln>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Sheet1!$A$2:$A$8</c:f>
              <c:strCache>
                <c:ptCount val="7"/>
                <c:pt idx="0">
                  <c:v>高星级饭店运营与管理</c:v>
                </c:pt>
                <c:pt idx="1">
                  <c:v>汽车运用与维修</c:v>
                </c:pt>
                <c:pt idx="2">
                  <c:v>财会</c:v>
                </c:pt>
                <c:pt idx="3">
                  <c:v>现代农艺技术</c:v>
                </c:pt>
                <c:pt idx="4">
                  <c:v>藏羌歌舞</c:v>
                </c:pt>
                <c:pt idx="5">
                  <c:v>园林绿化</c:v>
                </c:pt>
                <c:pt idx="6">
                  <c:v>物业管理</c:v>
                </c:pt>
              </c:strCache>
            </c:strRef>
          </c:cat>
          <c:val>
            <c:numRef>
              <c:f>Sheet1!$B$2:$B$8</c:f>
              <c:numCache>
                <c:formatCode>General</c:formatCode>
                <c:ptCount val="7"/>
                <c:pt idx="0">
                  <c:v>99</c:v>
                </c:pt>
                <c:pt idx="1">
                  <c:v>67</c:v>
                </c:pt>
                <c:pt idx="2">
                  <c:v>58</c:v>
                </c:pt>
                <c:pt idx="3">
                  <c:v>29</c:v>
                </c:pt>
                <c:pt idx="4">
                  <c:v>26</c:v>
                </c:pt>
                <c:pt idx="5">
                  <c:v>25</c:v>
                </c:pt>
                <c:pt idx="6">
                  <c:v>25</c:v>
                </c:pt>
              </c:numCache>
            </c:numRef>
          </c:val>
        </c:ser>
        <c:dLbls>
          <c:showLegendKey val="false"/>
          <c:showVal val="true"/>
          <c:showCatName val="false"/>
          <c:showSerName val="false"/>
          <c:showPercent val="false"/>
          <c:showBubbleSize val="false"/>
        </c:dLbls>
        <c:gapWidth val="182"/>
        <c:axId val="148794885"/>
        <c:axId val="18658514"/>
      </c:barChart>
      <c:catAx>
        <c:axId val="148794885"/>
        <c:scaling>
          <c:orientation val="minMax"/>
        </c:scaling>
        <c:delete val="false"/>
        <c:axPos val="l"/>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8658514"/>
        <c:crosses val="autoZero"/>
        <c:auto val="true"/>
        <c:lblAlgn val="ctr"/>
        <c:lblOffset val="100"/>
        <c:noMultiLvlLbl val="false"/>
      </c:catAx>
      <c:valAx>
        <c:axId val="18658514"/>
        <c:scaling>
          <c:orientation val="minMax"/>
        </c:scaling>
        <c:delete val="false"/>
        <c:axPos val="b"/>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48794885"/>
        <c:crosses val="autoZero"/>
        <c:crossBetween val="between"/>
      </c:valAx>
      <c:spPr>
        <a:noFill/>
        <a:ln>
          <a:noFill/>
        </a:ln>
        <a:effectLst/>
      </c:spPr>
    </c:plotArea>
    <c:legend>
      <c:legendPos val="b"/>
      <c:layout>
        <c:manualLayout>
          <c:xMode val="edge"/>
          <c:yMode val="edge"/>
          <c:x val="0.36"/>
          <c:y val="0.909126721763085"/>
        </c:manualLayout>
      </c:layout>
      <c:overlay val="false"/>
      <c:spPr>
        <a:noFill/>
        <a:ln>
          <a:noFill/>
        </a:ln>
        <a:effectLst/>
      </c:spPr>
      <c:txPr>
        <a:bodyPr rot="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332452271454121"/>
          <c:y val="0.0929064061810651"/>
          <c:w val="0.320059333637608"/>
          <c:h val="0.6582961746069"/>
        </c:manualLayout>
      </c:layout>
      <c:pieChart>
        <c:varyColors val="true"/>
        <c:ser>
          <c:idx val="0"/>
          <c:order val="0"/>
          <c:tx>
            <c:strRef>
              <c:f>Sheet1!$B$1</c:f>
              <c:strCache>
                <c:ptCount val="1"/>
                <c:pt idx="0">
                  <c:v>销售额</c:v>
                </c:pt>
              </c:strCache>
            </c:strRef>
          </c:tx>
          <c:spPr>
            <a:effectLst/>
          </c:spPr>
          <c:explosion val="0"/>
          <c:dPt>
            <c:idx val="0"/>
            <c:bubble3D val="false"/>
            <c:spPr>
              <a:solidFill>
                <a:schemeClr val="accent1"/>
              </a:solidFill>
              <a:ln w="19050">
                <a:solidFill>
                  <a:schemeClr val="lt1"/>
                </a:solidFill>
              </a:ln>
              <a:effectLst/>
            </c:spPr>
          </c:dPt>
          <c:dPt>
            <c:idx val="1"/>
            <c:bubble3D val="false"/>
            <c:spPr>
              <a:solidFill>
                <a:schemeClr val="accent3"/>
              </a:solidFill>
              <a:ln w="19050">
                <a:solidFill>
                  <a:schemeClr val="lt1"/>
                </a:solidFill>
              </a:ln>
              <a:effectLst/>
            </c:spPr>
          </c:dPt>
          <c:dPt>
            <c:idx val="2"/>
            <c:bubble3D val="false"/>
            <c:spPr>
              <a:solidFill>
                <a:schemeClr val="accent5"/>
              </a:solidFill>
              <a:ln w="19050">
                <a:solidFill>
                  <a:schemeClr val="lt1"/>
                </a:solidFill>
              </a:ln>
              <a:effectLst/>
            </c:spPr>
          </c:dPt>
          <c:dPt>
            <c:idx val="3"/>
            <c:bubble3D val="false"/>
            <c:spPr>
              <a:solidFill>
                <a:schemeClr val="accent1">
                  <a:lumMod val="60000"/>
                </a:schemeClr>
              </a:solidFill>
              <a:ln w="19050">
                <a:solidFill>
                  <a:schemeClr val="lt1"/>
                </a:solidFill>
              </a:ln>
              <a:effectLst/>
            </c:spPr>
          </c:dPt>
          <c:dLbls>
            <c:dLbl>
              <c:idx val="0"/>
              <c:layout>
                <c:manualLayout>
                  <c:x val="0.0759699101748533"/>
                  <c:y val="0.0184107853418371"/>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443317426348328"/>
                  <c:y val="0.00631600065158824"/>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293761167637271"/>
                  <c:y val="0.0751860464411465"/>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751541369242196"/>
                  <c:y val="0.0213791139412751"/>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企业对学生跟岗实习考核结果（优秀）比例</c:v>
                </c:pt>
                <c:pt idx="1">
                  <c:v>企业对学生顶岗实习考核结果（良好）比例</c:v>
                </c:pt>
                <c:pt idx="2">
                  <c:v>企业对学生顶岗实习考核结果（合格）比例</c:v>
                </c:pt>
                <c:pt idx="3">
                  <c:v> 企业对学生顶岗实习考核结果（不合格）比例</c:v>
                </c:pt>
              </c:strCache>
            </c:strRef>
          </c:cat>
          <c:val>
            <c:numRef>
              <c:f>Sheet1!$B$2:$B$5</c:f>
              <c:numCache>
                <c:formatCode>0.00%</c:formatCode>
                <c:ptCount val="4"/>
                <c:pt idx="0">
                  <c:v>0.121</c:v>
                </c:pt>
                <c:pt idx="1">
                  <c:v>0.356</c:v>
                </c:pt>
                <c:pt idx="2">
                  <c:v>0.499</c:v>
                </c:pt>
                <c:pt idx="3">
                  <c:v>0.024</c:v>
                </c:pt>
              </c:numCache>
            </c:numRef>
          </c:val>
        </c:ser>
        <c:dLbls>
          <c:showLegendKey val="false"/>
          <c:showVal val="true"/>
          <c:showCatName val="false"/>
          <c:showSerName val="false"/>
          <c:showPercent val="false"/>
          <c:showBubbleSize val="false"/>
          <c:showLeaderLines val="true"/>
        </c:dLbls>
        <c:firstSliceAng val="0"/>
      </c:pieChart>
      <c:spPr>
        <a:noFill/>
        <a:ln>
          <a:noFill/>
        </a:ln>
        <a:effectLst/>
      </c:spPr>
    </c:plotArea>
    <c:legend>
      <c:legendPos val="b"/>
      <c:layout/>
      <c:overlay val="false"/>
      <c:spPr>
        <a:noFill/>
        <a:ln>
          <a:noFill/>
        </a:ln>
        <a:effectLst/>
      </c:spPr>
      <c:txPr>
        <a:bodyPr rot="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prstDash val="solid"/>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19641957385059"/>
          <c:y val="0.0543559195830231"/>
          <c:w val="0.305122719491456"/>
          <c:h val="0.863908518887759"/>
        </c:manualLayout>
      </c:layout>
      <c:doughnutChart>
        <c:varyColors val="true"/>
        <c:ser>
          <c:idx val="0"/>
          <c:order val="0"/>
          <c:tx>
            <c:strRef>
              <c:f>Sheet1!$B$1</c:f>
              <c:strCache>
                <c:ptCount val="1"/>
                <c:pt idx="0">
                  <c:v>年龄结构分布</c:v>
                </c:pt>
              </c:strCache>
            </c:strRef>
          </c:tx>
          <c:spPr>
            <a:effectLst/>
          </c:spPr>
          <c:explosion val="0"/>
          <c:dPt>
            <c:idx val="0"/>
            <c:bubble3D val="false"/>
            <c:spPr>
              <a:gradFill rotWithShape="true">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false"/>
              </a:gradFill>
              <a:ln>
                <a:noFill/>
              </a:ln>
              <a:effectLst>
                <a:outerShdw blurRad="40000" dist="23000" dir="5400000" rotWithShape="0">
                  <a:srgbClr val="000000">
                    <a:alpha val="35000"/>
                  </a:srgbClr>
                </a:outerShdw>
              </a:effectLst>
            </c:spPr>
          </c:dPt>
          <c:dPt>
            <c:idx val="1"/>
            <c:bubble3D val="false"/>
            <c:spPr>
              <a:gradFill rotWithShape="true">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false"/>
              </a:gradFill>
              <a:ln>
                <a:noFill/>
              </a:ln>
              <a:effectLst>
                <a:outerShdw blurRad="40000" dist="23000" dir="5400000" rotWithShape="0">
                  <a:srgbClr val="000000">
                    <a:alpha val="35000"/>
                  </a:srgbClr>
                </a:outerShdw>
              </a:effectLst>
            </c:spPr>
          </c:dPt>
          <c:dPt>
            <c:idx val="2"/>
            <c:bubble3D val="false"/>
            <c:spPr>
              <a:gradFill rotWithShape="true">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false"/>
              </a:gradFill>
              <a:ln>
                <a:noFill/>
              </a:ln>
              <a:effectLst>
                <a:outerShdw blurRad="40000" dist="23000" dir="5400000" rotWithShape="0">
                  <a:srgbClr val="000000">
                    <a:alpha val="35000"/>
                  </a:srgbClr>
                </a:outerShdw>
              </a:effectLst>
            </c:spPr>
          </c:dPt>
          <c:dPt>
            <c:idx val="3"/>
            <c:bubble3D val="false"/>
            <c:spPr>
              <a:gradFill rotWithShape="true">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false"/>
              </a:gradFill>
              <a:ln>
                <a:noFill/>
              </a:ln>
              <a:effectLst>
                <a:outerShdw blurRad="40000" dist="23000" dir="5400000" rotWithShape="0">
                  <a:srgbClr val="000000">
                    <a:alpha val="35000"/>
                  </a:srgbClr>
                </a:outerShdw>
              </a:effectLst>
            </c:spPr>
          </c:dPt>
          <c:dLbls>
            <c:dLbl>
              <c:idx val="0"/>
              <c:layout>
                <c:manualLayout>
                  <c:x val="0.0946745562130177"/>
                  <c:y val="-0.100521221146687"/>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showLegendKey val="false"/>
              <c:showVal val="true"/>
              <c:showCatName val="false"/>
              <c:showSerName val="false"/>
              <c:showPercent val="true"/>
              <c:showBubbleSize val="false"/>
              <c:extLst>
                <c:ext xmlns:c15="http://schemas.microsoft.com/office/drawing/2012/chart" uri="{CE6537A1-D6FC-4f65-9D91-7224C49458BB}">
                  <c15:layout/>
                </c:ext>
              </c:extLst>
            </c:dLbl>
            <c:dLbl>
              <c:idx val="1"/>
              <c:layout>
                <c:manualLayout>
                  <c:x val="0.142011834319527"/>
                  <c:y val="0.117274758004468"/>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showLegendKey val="false"/>
              <c:showVal val="true"/>
              <c:showCatName val="false"/>
              <c:showSerName val="false"/>
              <c:showPercent val="true"/>
              <c:showBubbleSize val="false"/>
              <c:extLst>
                <c:ext xmlns:c15="http://schemas.microsoft.com/office/drawing/2012/chart" uri="{CE6537A1-D6FC-4f65-9D91-7224C49458BB}">
                  <c15:layout/>
                </c:ext>
              </c:extLst>
            </c:dLbl>
            <c:dLbl>
              <c:idx val="2"/>
              <c:layout>
                <c:manualLayout>
                  <c:x val="-0.120315581854043"/>
                  <c:y val="0.117274758004468"/>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showLegendKey val="false"/>
              <c:showVal val="true"/>
              <c:showCatName val="false"/>
              <c:showSerName val="false"/>
              <c:showPercent val="true"/>
              <c:showBubbleSize val="false"/>
              <c:extLst>
                <c:ext xmlns:c15="http://schemas.microsoft.com/office/drawing/2012/chart" uri="{CE6537A1-D6FC-4f65-9D91-7224C49458BB}">
                  <c15:layout/>
                </c:ext>
              </c:extLst>
            </c:dLbl>
            <c:dLbl>
              <c:idx val="3"/>
              <c:layout>
                <c:manualLayout>
                  <c:x val="-0.118343195266272"/>
                  <c:y val="-0.0949367088607595"/>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showLegendKey val="false"/>
              <c:showVal val="true"/>
              <c:showCatName val="false"/>
              <c:showSerName val="false"/>
              <c:showPercent val="true"/>
              <c:showBubbleSize val="false"/>
              <c:extLst>
                <c:ext xmlns:c15="http://schemas.microsoft.com/office/drawing/2012/chart" uri="{CE6537A1-D6FC-4f65-9D91-7224C49458BB}">
                  <c15:layout/>
                </c:ext>
              </c:extLst>
            </c:dLbl>
            <c:spPr>
              <a:noFill/>
              <a:ln>
                <a:noFill/>
              </a:ln>
              <a:effectLst/>
            </c:spPr>
            <c:txPr>
              <a:bodyPr rot="0" spcFirstLastPara="0" vertOverflow="ellipsis" horzOverflow="overflow"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showLegendKey val="false"/>
            <c:showVal val="tru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shade val="95000"/>
                          <a:satMod val="105000"/>
                        </a:schemeClr>
                      </a:solidFill>
                      <a:prstDash val="solid"/>
                      <a:round/>
                    </a:ln>
                    <a:effectLst/>
                  </c:spPr>
                </c15:leaderLines>
              </c:ext>
            </c:extLst>
          </c:dLbls>
          <c:cat>
            <c:strRef>
              <c:f>Sheet1!$A$2:$A$5</c:f>
              <c:strCache>
                <c:ptCount val="4"/>
                <c:pt idx="0">
                  <c:v>高级职称专任教师数</c:v>
                </c:pt>
                <c:pt idx="1">
                  <c:v>中级职称专任教师数</c:v>
                </c:pt>
                <c:pt idx="2">
                  <c:v>初级职称专任教师数</c:v>
                </c:pt>
                <c:pt idx="3">
                  <c:v>未评职称专任教师数</c:v>
                </c:pt>
              </c:strCache>
            </c:strRef>
          </c:cat>
          <c:val>
            <c:numRef>
              <c:f>Sheet1!$B$2:$B$5</c:f>
              <c:numCache>
                <c:formatCode>General</c:formatCode>
                <c:ptCount val="4"/>
                <c:pt idx="0">
                  <c:v>42</c:v>
                </c:pt>
                <c:pt idx="1">
                  <c:v>22</c:v>
                </c:pt>
                <c:pt idx="2">
                  <c:v>28</c:v>
                </c:pt>
                <c:pt idx="3">
                  <c:v>21</c:v>
                </c:pt>
              </c:numCache>
            </c:numRef>
          </c:val>
        </c:ser>
        <c:dLbls>
          <c:showLegendKey val="false"/>
          <c:showVal val="false"/>
          <c:showCatName val="false"/>
          <c:showSerName val="false"/>
          <c:showPercent val="false"/>
          <c:showBubbleSize val="false"/>
          <c:showLeaderLines val="true"/>
        </c:dLbls>
        <c:firstSliceAng val="0"/>
        <c:holeSize val="50"/>
      </c:doughnutChart>
      <c:spPr>
        <a:noFill/>
        <a:ln>
          <a:noFill/>
        </a:ln>
        <a:effectLst/>
      </c:spPr>
    </c:plotArea>
    <c:legend>
      <c:legendPos val="r"/>
      <c:layout>
        <c:manualLayout>
          <c:xMode val="edge"/>
          <c:yMode val="edge"/>
          <c:x val="0.651312672808984"/>
          <c:y val="0.301286051846655"/>
        </c:manualLayout>
      </c:layout>
      <c:overlay val="false"/>
      <c:spPr>
        <a:noFill/>
        <a:ln>
          <a:noFill/>
        </a:ln>
        <a:effectLst/>
      </c:spPr>
      <c:txPr>
        <a:bodyPr rot="0" spcFirstLastPara="0" vertOverflow="ellipsis" horzOverflow="overflow" vert="horz" wrap="square" anchor="ctr" anchorCtr="true"/>
        <a:lstStyle/>
        <a:p>
          <a:pPr>
            <a:defRPr lang="zh-CN" sz="1000" b="0" i="0" u="none" strike="noStrike" kern="1200" baseline="0">
              <a:solidFill>
                <a:schemeClr val="tx1"/>
              </a:solidFill>
              <a:latin typeface="+mn-lt"/>
              <a:ea typeface="+mn-ea"/>
              <a:cs typeface="+mn-cs"/>
            </a:defRPr>
          </a:pPr>
        </a:p>
      </c:txPr>
    </c:legend>
    <c:plotVisOnly val="true"/>
    <c:dispBlanksAs val="zero"/>
    <c:showDLblsOverMax val="false"/>
  </c:chart>
  <c:spPr>
    <a:solidFill>
      <a:schemeClr val="bg1"/>
    </a:solidFill>
    <a:ln w="9525" cap="flat" cmpd="sng" algn="ctr">
      <a:noFill/>
      <a:prstDash val="solid"/>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bar"/>
        <c:grouping val="clustered"/>
        <c:varyColors val="false"/>
        <c:ser>
          <c:idx val="0"/>
          <c:order val="0"/>
          <c:tx>
            <c:strRef>
              <c:f>Sheet1!$C$1</c:f>
              <c:strCache>
                <c:ptCount val="1"/>
                <c:pt idx="0">
                  <c:v>2019年</c:v>
                </c:pt>
              </c:strCache>
            </c:strRef>
          </c:tx>
          <c:spPr>
            <a:solidFill>
              <a:schemeClr val="accent1"/>
            </a:solidFill>
            <a:ln>
              <a:noFill/>
            </a:ln>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Sheet1!$A$2:$A$5</c:f>
              <c:strCache>
                <c:ptCount val="4"/>
                <c:pt idx="0">
                  <c:v>35岁及以下专任教师数</c:v>
                </c:pt>
                <c:pt idx="1">
                  <c:v>36～45岁专任教师数</c:v>
                </c:pt>
                <c:pt idx="2">
                  <c:v>46～55岁专任教师数</c:v>
                </c:pt>
                <c:pt idx="3">
                  <c:v>56岁及以上专任教师数</c:v>
                </c:pt>
              </c:strCache>
            </c:strRef>
          </c:cat>
          <c:val>
            <c:numRef>
              <c:f>Sheet1!$C$2:$C$5</c:f>
              <c:numCache>
                <c:formatCode>General</c:formatCode>
                <c:ptCount val="4"/>
                <c:pt idx="0">
                  <c:v>50</c:v>
                </c:pt>
                <c:pt idx="1">
                  <c:v>10</c:v>
                </c:pt>
                <c:pt idx="2">
                  <c:v>48</c:v>
                </c:pt>
                <c:pt idx="3">
                  <c:v>5</c:v>
                </c:pt>
              </c:numCache>
            </c:numRef>
          </c:val>
        </c:ser>
        <c:ser>
          <c:idx val="1"/>
          <c:order val="1"/>
          <c:tx>
            <c:strRef>
              <c:f>Sheet1!$B$1</c:f>
              <c:strCache>
                <c:ptCount val="1"/>
                <c:pt idx="0">
                  <c:v>2018年</c:v>
                </c:pt>
              </c:strCache>
            </c:strRef>
          </c:tx>
          <c:spPr>
            <a:solidFill>
              <a:schemeClr val="accent3"/>
            </a:solidFill>
            <a:ln>
              <a:noFill/>
            </a:ln>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Sheet1!$A$2:$A$5</c:f>
              <c:strCache>
                <c:ptCount val="4"/>
                <c:pt idx="0">
                  <c:v>35岁及以下专任教师数</c:v>
                </c:pt>
                <c:pt idx="1">
                  <c:v>36～45岁专任教师数</c:v>
                </c:pt>
                <c:pt idx="2">
                  <c:v>46～55岁专任教师数</c:v>
                </c:pt>
                <c:pt idx="3">
                  <c:v>56岁及以上专任教师数</c:v>
                </c:pt>
              </c:strCache>
            </c:strRef>
          </c:cat>
          <c:val>
            <c:numRef>
              <c:f>Sheet1!$B$2:$B$5</c:f>
              <c:numCache>
                <c:formatCode>General</c:formatCode>
                <c:ptCount val="4"/>
                <c:pt idx="0">
                  <c:v>32</c:v>
                </c:pt>
                <c:pt idx="1">
                  <c:v>9</c:v>
                </c:pt>
                <c:pt idx="2">
                  <c:v>44</c:v>
                </c:pt>
                <c:pt idx="3">
                  <c:v>11</c:v>
                </c:pt>
              </c:numCache>
            </c:numRef>
          </c:val>
        </c:ser>
        <c:dLbls>
          <c:showLegendKey val="false"/>
          <c:showVal val="true"/>
          <c:showCatName val="false"/>
          <c:showSerName val="false"/>
          <c:showPercent val="false"/>
          <c:showBubbleSize val="false"/>
        </c:dLbls>
        <c:gapWidth val="182"/>
        <c:axId val="162745926"/>
        <c:axId val="193219997"/>
      </c:barChart>
      <c:catAx>
        <c:axId val="162745926"/>
        <c:scaling>
          <c:orientation val="minMax"/>
        </c:scaling>
        <c:delete val="false"/>
        <c:axPos val="l"/>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93219997"/>
        <c:crosses val="autoZero"/>
        <c:auto val="true"/>
        <c:lblAlgn val="ctr"/>
        <c:lblOffset val="100"/>
        <c:noMultiLvlLbl val="false"/>
      </c:catAx>
      <c:valAx>
        <c:axId val="193219997"/>
        <c:scaling>
          <c:orientation val="minMax"/>
        </c:scaling>
        <c:delete val="false"/>
        <c:axPos val="b"/>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62745926"/>
        <c:crosses val="autoZero"/>
        <c:crossBetween val="between"/>
      </c:valAx>
      <c:spPr>
        <a:noFill/>
        <a:ln>
          <a:noFill/>
        </a:ln>
        <a:effectLst/>
      </c:spPr>
    </c:plotArea>
    <c:legend>
      <c:legendPos val="b"/>
      <c:layout/>
      <c:overlay val="false"/>
      <c:spPr>
        <a:noFill/>
        <a:ln>
          <a:noFill/>
        </a:ln>
        <a:effectLst/>
      </c:spPr>
      <c:txPr>
        <a:bodyPr rot="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2018年</c:v>
                </c:pt>
              </c:strCache>
            </c:strRef>
          </c:tx>
          <c:spPr>
            <a:solidFill>
              <a:schemeClr val="accent1"/>
            </a:solidFill>
            <a:ln>
              <a:noFill/>
            </a:ln>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教学设备资产值（万元）</c:v>
                </c:pt>
                <c:pt idx="1">
                  <c:v>实训设备资产值（万元）</c:v>
                </c:pt>
              </c:strCache>
            </c:strRef>
          </c:cat>
          <c:val>
            <c:numRef>
              <c:f>Sheet1!$B$2:$B$3</c:f>
              <c:numCache>
                <c:formatCode>General</c:formatCode>
                <c:ptCount val="2"/>
                <c:pt idx="0">
                  <c:v>1659.04</c:v>
                </c:pt>
                <c:pt idx="1">
                  <c:v>1213.88</c:v>
                </c:pt>
              </c:numCache>
            </c:numRef>
          </c:val>
        </c:ser>
        <c:ser>
          <c:idx val="1"/>
          <c:order val="1"/>
          <c:tx>
            <c:strRef>
              <c:f>Sheet1!$C$1</c:f>
              <c:strCache>
                <c:ptCount val="1"/>
                <c:pt idx="0">
                  <c:v>2019年</c:v>
                </c:pt>
              </c:strCache>
            </c:strRef>
          </c:tx>
          <c:spPr>
            <a:solidFill>
              <a:schemeClr val="accent3"/>
            </a:solidFill>
            <a:ln>
              <a:noFill/>
            </a:ln>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教学设备资产值（万元）</c:v>
                </c:pt>
                <c:pt idx="1">
                  <c:v>实训设备资产值（万元）</c:v>
                </c:pt>
              </c:strCache>
            </c:strRef>
          </c:cat>
          <c:val>
            <c:numRef>
              <c:f>Sheet1!$C$2:$C$3</c:f>
              <c:numCache>
                <c:formatCode>General</c:formatCode>
                <c:ptCount val="2"/>
                <c:pt idx="0">
                  <c:v>2069.93</c:v>
                </c:pt>
                <c:pt idx="1">
                  <c:v>1447.13</c:v>
                </c:pt>
              </c:numCache>
            </c:numRef>
          </c:val>
        </c:ser>
        <c:ser>
          <c:idx val="2"/>
          <c:order val="2"/>
          <c:tx>
            <c:strRef>
              <c:f>Sheet1!$D$1</c:f>
              <c:strCache>
                <c:ptCount val="1"/>
                <c:pt idx="0">
                  <c:v>增减值</c:v>
                </c:pt>
              </c:strCache>
            </c:strRef>
          </c:tx>
          <c:spPr>
            <a:solidFill>
              <a:schemeClr val="accent5"/>
            </a:solidFill>
            <a:ln>
              <a:noFill/>
            </a:ln>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教学设备资产值（万元）</c:v>
                </c:pt>
                <c:pt idx="1">
                  <c:v>实训设备资产值（万元）</c:v>
                </c:pt>
              </c:strCache>
            </c:strRef>
          </c:cat>
          <c:val>
            <c:numRef>
              <c:f>Sheet1!$D$2:$D$3</c:f>
              <c:numCache>
                <c:formatCode>General</c:formatCode>
                <c:ptCount val="2"/>
                <c:pt idx="0">
                  <c:v>410.89</c:v>
                </c:pt>
                <c:pt idx="1">
                  <c:v>233.25</c:v>
                </c:pt>
              </c:numCache>
            </c:numRef>
          </c:val>
        </c:ser>
        <c:dLbls>
          <c:showLegendKey val="false"/>
          <c:showVal val="true"/>
          <c:showCatName val="false"/>
          <c:showSerName val="false"/>
          <c:showPercent val="false"/>
          <c:showBubbleSize val="false"/>
        </c:dLbls>
        <c:gapWidth val="219"/>
        <c:overlap val="-27"/>
        <c:axId val="63613769"/>
        <c:axId val="289177953"/>
      </c:barChart>
      <c:catAx>
        <c:axId val="63613769"/>
        <c:scaling>
          <c:orientation val="minMax"/>
        </c:scaling>
        <c:delete val="false"/>
        <c:axPos val="b"/>
        <c:numFmt formatCode="General" sourceLinked="true"/>
        <c:majorTickMark val="none"/>
        <c:minorTickMark val="none"/>
        <c:tickLblPos val="nextTo"/>
        <c:spPr>
          <a:noFill/>
          <a:ln w="9525" cap="flat" cmpd="sng" algn="ctr">
            <a:noFill/>
            <a:round/>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289177953"/>
        <c:crosses val="autoZero"/>
        <c:auto val="true"/>
        <c:lblAlgn val="ctr"/>
        <c:lblOffset val="100"/>
        <c:noMultiLvlLbl val="false"/>
      </c:catAx>
      <c:valAx>
        <c:axId val="289177953"/>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3613769"/>
        <c:crosses val="autoZero"/>
        <c:crossBetween val="between"/>
      </c:valAx>
      <c:spPr>
        <a:noFill/>
        <a:ln>
          <a:noFill/>
        </a:ln>
        <a:effectLst/>
      </c:spPr>
    </c:plotArea>
    <c:legend>
      <c:legendPos val="b"/>
      <c:layout/>
      <c:overlay val="false"/>
      <c:spPr>
        <a:noFill/>
        <a:ln>
          <a:noFill/>
        </a:ln>
        <a:effectLst/>
      </c:spPr>
      <c:txPr>
        <a:bodyPr rot="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bar"/>
        <c:grouping val="clustered"/>
        <c:varyColors val="false"/>
        <c:ser>
          <c:idx val="0"/>
          <c:order val="0"/>
          <c:tx>
            <c:strRef>
              <c:f>Sheet1!$B$1</c:f>
              <c:strCache>
                <c:ptCount val="1"/>
                <c:pt idx="0">
                  <c:v>2018年</c:v>
                </c:pt>
              </c:strCache>
            </c:strRef>
          </c:tx>
          <c:spPr>
            <a:solidFill>
              <a:schemeClr val="accent1"/>
            </a:solidFill>
            <a:ln>
              <a:noFill/>
            </a:ln>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生均教学设备资产值（万元）</c:v>
                </c:pt>
                <c:pt idx="1">
                  <c:v>生均实训设备资产值（万元）</c:v>
                </c:pt>
              </c:strCache>
            </c:strRef>
          </c:cat>
          <c:val>
            <c:numRef>
              <c:f>Sheet1!$B$2:$B$3</c:f>
              <c:numCache>
                <c:formatCode>0.00_ </c:formatCode>
                <c:ptCount val="2"/>
                <c:pt idx="0">
                  <c:v>1.69635991820041</c:v>
                </c:pt>
                <c:pt idx="1">
                  <c:v>1.24118609406953</c:v>
                </c:pt>
              </c:numCache>
            </c:numRef>
          </c:val>
        </c:ser>
        <c:ser>
          <c:idx val="1"/>
          <c:order val="1"/>
          <c:tx>
            <c:strRef>
              <c:f>Sheet1!$C$1</c:f>
              <c:strCache>
                <c:ptCount val="1"/>
                <c:pt idx="0">
                  <c:v>2019年</c:v>
                </c:pt>
              </c:strCache>
            </c:strRef>
          </c:tx>
          <c:spPr>
            <a:solidFill>
              <a:schemeClr val="accent3"/>
            </a:solidFill>
            <a:ln>
              <a:noFill/>
            </a:ln>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生均教学设备资产值（万元）</c:v>
                </c:pt>
                <c:pt idx="1">
                  <c:v>生均实训设备资产值（万元）</c:v>
                </c:pt>
              </c:strCache>
            </c:strRef>
          </c:cat>
          <c:val>
            <c:numRef>
              <c:f>Sheet1!$C$2:$C$3</c:f>
              <c:numCache>
                <c:formatCode>0.00_ </c:formatCode>
                <c:ptCount val="2"/>
                <c:pt idx="0">
                  <c:v>2.67778784</c:v>
                </c:pt>
                <c:pt idx="1">
                  <c:v>1.872095731</c:v>
                </c:pt>
              </c:numCache>
            </c:numRef>
          </c:val>
        </c:ser>
        <c:ser>
          <c:idx val="2"/>
          <c:order val="2"/>
          <c:tx>
            <c:strRef>
              <c:f>Sheet1!$D$1</c:f>
              <c:strCache>
                <c:ptCount val="1"/>
                <c:pt idx="0">
                  <c:v>增减率</c:v>
                </c:pt>
              </c:strCache>
            </c:strRef>
          </c:tx>
          <c:spPr>
            <a:solidFill>
              <a:schemeClr val="accent5"/>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ext>
            </c:extLst>
          </c:dLbls>
          <c:cat>
            <c:strRef>
              <c:f>Sheet1!$A$2:$A$3</c:f>
              <c:strCache>
                <c:ptCount val="2"/>
                <c:pt idx="0">
                  <c:v>生均教学设备资产值（万元）</c:v>
                </c:pt>
                <c:pt idx="1">
                  <c:v>生均实训设备资产值（万元）</c:v>
                </c:pt>
              </c:strCache>
            </c:strRef>
          </c:cat>
          <c:val>
            <c:numRef>
              <c:f>Sheet1!$D$2:$D$3</c:f>
              <c:numCache>
                <c:formatCode>0%</c:formatCode>
                <c:ptCount val="2"/>
                <c:pt idx="0">
                  <c:v>0.58</c:v>
                </c:pt>
                <c:pt idx="1">
                  <c:v>0.51</c:v>
                </c:pt>
              </c:numCache>
            </c:numRef>
          </c:val>
        </c:ser>
        <c:dLbls>
          <c:showLegendKey val="false"/>
          <c:showVal val="true"/>
          <c:showCatName val="false"/>
          <c:showSerName val="false"/>
          <c:showPercent val="false"/>
          <c:showBubbleSize val="false"/>
        </c:dLbls>
        <c:gapWidth val="182"/>
        <c:axId val="147100561"/>
        <c:axId val="61328141"/>
      </c:barChart>
      <c:catAx>
        <c:axId val="147100561"/>
        <c:scaling>
          <c:orientation val="minMax"/>
        </c:scaling>
        <c:delete val="false"/>
        <c:axPos val="l"/>
        <c:numFmt formatCode="General" sourceLinked="tru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1328141"/>
        <c:crosses val="autoZero"/>
        <c:auto val="true"/>
        <c:lblAlgn val="ctr"/>
        <c:lblOffset val="100"/>
        <c:noMultiLvlLbl val="false"/>
      </c:catAx>
      <c:valAx>
        <c:axId val="61328141"/>
        <c:scaling>
          <c:orientation val="minMax"/>
        </c:scaling>
        <c:delete val="false"/>
        <c:axPos val="b"/>
        <c:majorGridlines>
          <c:spPr>
            <a:ln w="9525" cap="flat" cmpd="sng" algn="ctr">
              <a:solidFill>
                <a:schemeClr val="tx1">
                  <a:lumMod val="15000"/>
                  <a:lumOff val="85000"/>
                </a:schemeClr>
              </a:solidFill>
              <a:prstDash val="solid"/>
              <a:round/>
            </a:ln>
            <a:effectLst/>
          </c:spPr>
        </c:majorGridlines>
        <c:numFmt formatCode="0.00_ " sourceLinked="true"/>
        <c:majorTickMark val="none"/>
        <c:minorTickMark val="none"/>
        <c:tickLblPos val="nextTo"/>
        <c:spPr>
          <a:noFill/>
          <a:ln w="9525" cap="flat" cmpd="sng" algn="ctr">
            <a:noFill/>
            <a:prstDash val="solid"/>
            <a:round/>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47100561"/>
        <c:crosses val="autoZero"/>
        <c:crossBetween val="between"/>
      </c:valAx>
      <c:spPr>
        <a:noFill/>
        <a:ln>
          <a:noFill/>
        </a:ln>
        <a:effectLst/>
      </c:spPr>
    </c:plotArea>
    <c:legend>
      <c:legendPos val="b"/>
      <c:layout/>
      <c:overlay val="false"/>
      <c:spPr>
        <a:noFill/>
        <a:ln>
          <a:noFill/>
        </a:ln>
        <a:effectLst/>
      </c:spPr>
      <c:txPr>
        <a:bodyPr rot="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prstDash val="solid"/>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Sheet1!$B$1</c:f>
              <c:strCache>
                <c:ptCount val="1"/>
                <c:pt idx="0">
                  <c:v>销售额</c:v>
                </c:pt>
              </c:strCache>
            </c:strRef>
          </c:tx>
          <c:spPr>
            <a:effectLst/>
          </c:spPr>
          <c:explosion val="0"/>
          <c:dPt>
            <c:idx val="0"/>
            <c:bubble3D val="false"/>
            <c:spPr>
              <a:solidFill>
                <a:schemeClr val="accent1"/>
              </a:solidFill>
              <a:ln w="19050">
                <a:solidFill>
                  <a:schemeClr val="lt1"/>
                </a:solidFill>
              </a:ln>
              <a:effectLst/>
            </c:spPr>
          </c:dPt>
          <c:dPt>
            <c:idx val="1"/>
            <c:bubble3D val="false"/>
            <c:spPr>
              <a:solidFill>
                <a:schemeClr val="accent3"/>
              </a:solidFill>
              <a:ln w="19050">
                <a:solidFill>
                  <a:schemeClr val="lt1"/>
                </a:solidFill>
              </a:ln>
              <a:effectLst/>
            </c:spPr>
          </c:dPt>
          <c:dPt>
            <c:idx val="2"/>
            <c:bubble3D val="false"/>
            <c:spPr>
              <a:solidFill>
                <a:schemeClr val="accent5"/>
              </a:solidFill>
              <a:ln w="19050">
                <a:solidFill>
                  <a:schemeClr val="lt1"/>
                </a:solidFill>
              </a:ln>
              <a:effectLst/>
            </c:spPr>
          </c:dPt>
          <c:dPt>
            <c:idx val="3"/>
            <c:bubble3D val="false"/>
            <c:spPr>
              <a:solidFill>
                <a:schemeClr val="accent1">
                  <a:lumMod val="60000"/>
                </a:schemeClr>
              </a:solidFill>
              <a:ln w="19050">
                <a:solidFill>
                  <a:schemeClr val="lt1"/>
                </a:solidFill>
              </a:ln>
              <a:effectLst/>
            </c:spPr>
          </c:dPt>
          <c:dLbls>
            <c:dLbl>
              <c:idx val="0"/>
              <c:layout>
                <c:manualLayout>
                  <c:x val="0.0524906844577533"/>
                  <c:y val="0.0106164526547327"/>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193467038223589"/>
                  <c:y val="-0.0606124689229024"/>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552673793958888"/>
                  <c:y val="-0.0618936615115991"/>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100734227957626"/>
                  <c:y val="-0.00163023934622767"/>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bestFit"/>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学生操行考核优的比例</c:v>
                </c:pt>
                <c:pt idx="1">
                  <c:v>学生操行考核良的比例</c:v>
                </c:pt>
                <c:pt idx="2">
                  <c:v>学生操行考核中的比例</c:v>
                </c:pt>
                <c:pt idx="3">
                  <c:v>学生操行考核差的比例</c:v>
                </c:pt>
              </c:strCache>
            </c:strRef>
          </c:cat>
          <c:val>
            <c:numRef>
              <c:f>Sheet1!$B$2:$B$5</c:f>
              <c:numCache>
                <c:formatCode>0.00%</c:formatCode>
                <c:ptCount val="4"/>
                <c:pt idx="0">
                  <c:v>0.295</c:v>
                </c:pt>
                <c:pt idx="1">
                  <c:v>0.386</c:v>
                </c:pt>
                <c:pt idx="2">
                  <c:v>0.303</c:v>
                </c:pt>
                <c:pt idx="3">
                  <c:v>0.016</c:v>
                </c:pt>
              </c:numCache>
            </c:numRef>
          </c:val>
        </c:ser>
        <c:dLbls>
          <c:showLegendKey val="false"/>
          <c:showVal val="false"/>
          <c:showCatName val="false"/>
          <c:showSerName val="false"/>
          <c:showPercent val="false"/>
          <c:showBubbleSize val="false"/>
          <c:showLeaderLines val="true"/>
        </c:dLbls>
        <c:firstSliceAng val="0"/>
      </c:pieChart>
      <c:spPr>
        <a:noFill/>
        <a:ln>
          <a:noFill/>
        </a:ln>
        <a:effectLst/>
      </c:spPr>
    </c:plotArea>
    <c:legend>
      <c:legendPos val="b"/>
      <c:layout/>
      <c:overlay val="false"/>
      <c:spPr>
        <a:noFill/>
        <a:ln>
          <a:noFill/>
        </a:ln>
        <a:effectLst/>
      </c:spPr>
      <c:txPr>
        <a:bodyPr rot="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prstDash val="solid"/>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bar"/>
        <c:grouping val="percentStacked"/>
        <c:varyColors val="false"/>
        <c:ser>
          <c:idx val="0"/>
          <c:order val="0"/>
          <c:tx>
            <c:strRef>
              <c:f>Sheet1!$B$1</c:f>
              <c:strCache>
                <c:ptCount val="1"/>
                <c:pt idx="0">
                  <c:v>不满意</c:v>
                </c:pt>
              </c:strCache>
            </c:strRef>
          </c:tx>
          <c:spPr>
            <a:gradFill rotWithShape="true">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false"/>
            </a:gradFill>
            <a:ln>
              <a:noFill/>
            </a:ln>
            <a:effectLst>
              <a:outerShdw blurRad="40000" dist="23000" dir="5400000" rotWithShape="0">
                <a:srgbClr val="000000">
                  <a:alpha val="35000"/>
                </a:srgbClr>
              </a:outerShdw>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Sheet1!$A$2:$A$8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Sheet1!$B$2:$B$8</c:f>
              <c:numCache>
                <c:formatCode>0%</c:formatCode>
                <c:ptCount val="7"/>
                <c:pt idx="0">
                  <c:v>0.05</c:v>
                </c:pt>
                <c:pt idx="1">
                  <c:v>0.05</c:v>
                </c:pt>
                <c:pt idx="2">
                  <c:v>0.05</c:v>
                </c:pt>
                <c:pt idx="3">
                  <c:v>0.05</c:v>
                </c:pt>
                <c:pt idx="4">
                  <c:v>0.015</c:v>
                </c:pt>
                <c:pt idx="5">
                  <c:v>0.007</c:v>
                </c:pt>
                <c:pt idx="6">
                  <c:v>0.02</c:v>
                </c:pt>
              </c:numCache>
            </c:numRef>
          </c:val>
        </c:ser>
        <c:ser>
          <c:idx val="1"/>
          <c:order val="1"/>
          <c:tx>
            <c:strRef>
              <c:f>Sheet1!$C$1</c:f>
              <c:strCache>
                <c:ptCount val="1"/>
                <c:pt idx="0">
                  <c:v>基本满意</c:v>
                </c:pt>
              </c:strCache>
            </c:strRef>
          </c:tx>
          <c:spPr>
            <a:gradFill rotWithShape="true">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false"/>
            </a:gradFill>
            <a:ln>
              <a:noFill/>
            </a:ln>
            <a:effectLst>
              <a:outerShdw blurRad="40000" dist="23000" dir="5400000" rotWithShape="0">
                <a:srgbClr val="000000">
                  <a:alpha val="35000"/>
                </a:srgbClr>
              </a:outerShdw>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Sheet1!$A$2:$A$8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Sheet1!$C$2:$C$8</c:f>
              <c:numCache>
                <c:formatCode>0%</c:formatCode>
                <c:ptCount val="7"/>
                <c:pt idx="0">
                  <c:v>0.35</c:v>
                </c:pt>
                <c:pt idx="1">
                  <c:v>0.25</c:v>
                </c:pt>
                <c:pt idx="2">
                  <c:v>0.2</c:v>
                </c:pt>
                <c:pt idx="3">
                  <c:v>0.15</c:v>
                </c:pt>
                <c:pt idx="4">
                  <c:v>0.558</c:v>
                </c:pt>
                <c:pt idx="5">
                  <c:v>0.271</c:v>
                </c:pt>
                <c:pt idx="6">
                  <c:v>0.26</c:v>
                </c:pt>
              </c:numCache>
            </c:numRef>
          </c:val>
        </c:ser>
        <c:ser>
          <c:idx val="2"/>
          <c:order val="2"/>
          <c:tx>
            <c:strRef>
              <c:f>Sheet1!$D$1</c:f>
              <c:strCache>
                <c:ptCount val="1"/>
                <c:pt idx="0">
                  <c:v>非常满意</c:v>
                </c:pt>
              </c:strCache>
            </c:strRef>
          </c:tx>
          <c:spPr>
            <a:gradFill rotWithShape="true">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false"/>
            </a:gradFill>
            <a:ln>
              <a:noFill/>
            </a:ln>
            <a:effectLst>
              <a:outerShdw blurRad="40000" dist="23000" dir="5400000" rotWithShape="0">
                <a:srgbClr val="000000">
                  <a:alpha val="35000"/>
                </a:srgbClr>
              </a:outerShdw>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Sheet1!$A$2:$A$8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Sheet1!$D$2:$D$8</c:f>
              <c:numCache>
                <c:formatCode>0%</c:formatCode>
                <c:ptCount val="7"/>
                <c:pt idx="0">
                  <c:v>0.6</c:v>
                </c:pt>
                <c:pt idx="1">
                  <c:v>0.7</c:v>
                </c:pt>
                <c:pt idx="2">
                  <c:v>0.75</c:v>
                </c:pt>
                <c:pt idx="3">
                  <c:v>0.8</c:v>
                </c:pt>
                <c:pt idx="4">
                  <c:v>0.427</c:v>
                </c:pt>
                <c:pt idx="5">
                  <c:v>0.72</c:v>
                </c:pt>
                <c:pt idx="6">
                  <c:v>0.72</c:v>
                </c:pt>
              </c:numCache>
            </c:numRef>
          </c:val>
        </c:ser>
        <c:dLbls>
          <c:showLegendKey val="false"/>
          <c:showVal val="true"/>
          <c:showCatName val="false"/>
          <c:showSerName val="false"/>
          <c:showPercent val="false"/>
          <c:showBubbleSize val="false"/>
        </c:dLbls>
        <c:gapWidth val="55"/>
        <c:overlap val="100"/>
        <c:axId val="218434176"/>
        <c:axId val="218440064"/>
      </c:barChart>
      <c:catAx>
        <c:axId val="218434176"/>
        <c:scaling>
          <c:orientation val="minMax"/>
        </c:scaling>
        <c:delete val="false"/>
        <c:axPos val="l"/>
        <c:numFmt formatCode="General" sourceLinked="true"/>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horzOverflow="overflow" vert="horz" wrap="square" anchor="ctr" anchorCtr="true"/>
          <a:lstStyle/>
          <a:p>
            <a:pPr>
              <a:defRPr lang="zh-CN" sz="1000" b="0" i="0" u="none" strike="noStrike" kern="1200" baseline="0">
                <a:solidFill>
                  <a:schemeClr val="tx1"/>
                </a:solidFill>
                <a:latin typeface="+mn-lt"/>
                <a:ea typeface="+mn-ea"/>
                <a:cs typeface="+mn-cs"/>
              </a:defRPr>
            </a:pPr>
          </a:p>
        </c:txPr>
        <c:crossAx val="218440064"/>
        <c:crosses val="autoZero"/>
        <c:auto val="true"/>
        <c:lblAlgn val="ctr"/>
        <c:lblOffset val="100"/>
        <c:noMultiLvlLbl val="false"/>
      </c:catAx>
      <c:valAx>
        <c:axId val="218440064"/>
        <c:scaling>
          <c:orientation val="minMax"/>
        </c:scaling>
        <c:delete val="false"/>
        <c:axPos val="b"/>
        <c:majorGridlines>
          <c:spPr>
            <a:ln w="9525" cap="flat" cmpd="sng" algn="ctr">
              <a:solidFill>
                <a:schemeClr val="tx1">
                  <a:tint val="75000"/>
                  <a:shade val="95000"/>
                  <a:satMod val="105000"/>
                </a:schemeClr>
              </a:solidFill>
              <a:prstDash val="solid"/>
              <a:round/>
            </a:ln>
            <a:effectLst/>
          </c:spPr>
        </c:majorGridlines>
        <c:numFmt formatCode="0%" sourceLinked="true"/>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horzOverflow="overflow" vert="horz" wrap="square" anchor="ctr" anchorCtr="true"/>
          <a:lstStyle/>
          <a:p>
            <a:pPr>
              <a:defRPr lang="zh-CN" sz="1000" b="0" i="0" u="none" strike="noStrike" kern="1200" baseline="0">
                <a:solidFill>
                  <a:schemeClr val="tx1"/>
                </a:solidFill>
                <a:latin typeface="+mn-lt"/>
                <a:ea typeface="+mn-ea"/>
                <a:cs typeface="+mn-cs"/>
              </a:defRPr>
            </a:pPr>
          </a:p>
        </c:txPr>
        <c:crossAx val="218434176"/>
        <c:crosses val="autoZero"/>
        <c:crossBetween val="between"/>
      </c:valAx>
      <c:spPr>
        <a:solidFill>
          <a:schemeClr val="bg1"/>
        </a:solidFill>
        <a:ln>
          <a:noFill/>
        </a:ln>
        <a:effectLst/>
      </c:spPr>
    </c:plotArea>
    <c:legend>
      <c:legendPos val="r"/>
      <c:layout/>
      <c:overlay val="false"/>
      <c:spPr>
        <a:noFill/>
        <a:ln>
          <a:noFill/>
        </a:ln>
        <a:effectLst/>
      </c:spPr>
      <c:txPr>
        <a:bodyPr rot="0" spcFirstLastPara="0" vertOverflow="ellipsis" horzOverflow="overflow" vert="horz" wrap="square" anchor="ctr" anchorCtr="true"/>
        <a:lstStyle/>
        <a:p>
          <a:pPr>
            <a:defRPr lang="zh-CN" sz="1000" b="0" i="0" u="none" strike="noStrike" kern="1200" baseline="0">
              <a:solidFill>
                <a:schemeClr val="tx1"/>
              </a:solidFill>
              <a:latin typeface="+mn-lt"/>
              <a:ea typeface="+mn-ea"/>
              <a:cs typeface="+mn-cs"/>
            </a:defRPr>
          </a:pPr>
        </a:p>
      </c:txPr>
    </c:legend>
    <c:plotVisOnly val="true"/>
    <c:dispBlanksAs val="gap"/>
    <c:showDLblsOverMax val="false"/>
  </c:chart>
  <c:spPr>
    <a:solidFill>
      <a:schemeClr val="bg1"/>
    </a:solidFill>
    <a:ln w="9525" cap="flat" cmpd="sng" algn="ctr">
      <a:noFill/>
      <a:prstDash val="solid"/>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2018年</c:v>
                </c:pt>
              </c:strCache>
            </c:strRef>
          </c:tx>
          <c:spPr>
            <a:solidFill>
              <a:schemeClr val="accent1"/>
            </a:solidFill>
            <a:ln>
              <a:noFill/>
            </a:ln>
            <a:effectLst/>
          </c:spPr>
          <c:invertIfNegative val="false"/>
          <c:dLbls>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到国有企业事业单位服务比例</c:v>
                </c:pt>
                <c:pt idx="1">
                  <c:v>到民营企业服务比例</c:v>
                </c:pt>
              </c:strCache>
            </c:strRef>
          </c:cat>
          <c:val>
            <c:numRef>
              <c:f>Sheet1!$B$2:$B$3</c:f>
              <c:numCache>
                <c:formatCode>0%</c:formatCode>
                <c:ptCount val="2"/>
                <c:pt idx="0">
                  <c:v>0.22</c:v>
                </c:pt>
                <c:pt idx="1">
                  <c:v>0.74</c:v>
                </c:pt>
              </c:numCache>
            </c:numRef>
          </c:val>
        </c:ser>
        <c:ser>
          <c:idx val="1"/>
          <c:order val="1"/>
          <c:tx>
            <c:strRef>
              <c:f>Sheet1!$C$1</c:f>
              <c:strCache>
                <c:ptCount val="1"/>
                <c:pt idx="0">
                  <c:v>2019年</c:v>
                </c:pt>
              </c:strCache>
            </c:strRef>
          </c:tx>
          <c:spPr>
            <a:solidFill>
              <a:schemeClr val="accent3"/>
            </a:solidFill>
            <a:ln>
              <a:noFill/>
            </a:ln>
            <a:effectLst/>
          </c:spPr>
          <c:invertIfNegative val="false"/>
          <c:dLbls>
            <c:dLbl>
              <c:idx val="0"/>
              <c:layout>
                <c:manualLayout>
                  <c:x val="0.0167200780270308"/>
                  <c:y val="0"/>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229901072871673"/>
                  <c:y val="0"/>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horzOverflow="overflow"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到国有企业事业单位服务比例</c:v>
                </c:pt>
                <c:pt idx="1">
                  <c:v>到民营企业服务比例</c:v>
                </c:pt>
              </c:strCache>
            </c:strRef>
          </c:cat>
          <c:val>
            <c:numRef>
              <c:f>Sheet1!$C$2:$C$3</c:f>
              <c:numCache>
                <c:formatCode>0%</c:formatCode>
                <c:ptCount val="2"/>
                <c:pt idx="0">
                  <c:v>0.43</c:v>
                </c:pt>
                <c:pt idx="1">
                  <c:v>0.17</c:v>
                </c:pt>
              </c:numCache>
            </c:numRef>
          </c:val>
        </c:ser>
        <c:dLbls>
          <c:showLegendKey val="false"/>
          <c:showVal val="true"/>
          <c:showCatName val="false"/>
          <c:showSerName val="false"/>
          <c:showPercent val="false"/>
          <c:showBubbleSize val="false"/>
        </c:dLbls>
        <c:gapWidth val="219"/>
        <c:overlap val="-27"/>
        <c:axId val="220667336"/>
        <c:axId val="31154034"/>
      </c:barChart>
      <c:catAx>
        <c:axId val="220667336"/>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31154034"/>
        <c:crosses val="autoZero"/>
        <c:auto val="true"/>
        <c:lblAlgn val="ctr"/>
        <c:lblOffset val="100"/>
        <c:noMultiLvlLbl val="false"/>
      </c:catAx>
      <c:valAx>
        <c:axId val="31154034"/>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0%" sourceLinked="true"/>
        <c:majorTickMark val="none"/>
        <c:minorTickMark val="none"/>
        <c:tickLblPos val="nextTo"/>
        <c:spPr>
          <a:noFill/>
          <a:ln w="9525" cap="flat" cmpd="sng" algn="ctr">
            <a:noFill/>
            <a:prstDash val="solid"/>
            <a:round/>
          </a:ln>
          <a:effectLst/>
        </c:spPr>
        <c:txPr>
          <a:bodyPr rot="-6000000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220667336"/>
        <c:crosses val="autoZero"/>
        <c:crossBetween val="between"/>
      </c:valAx>
      <c:spPr>
        <a:noFill/>
        <a:ln>
          <a:noFill/>
        </a:ln>
        <a:effectLst/>
      </c:spPr>
    </c:plotArea>
    <c:legend>
      <c:legendPos val="b"/>
      <c:layout/>
      <c:overlay val="false"/>
      <c:spPr>
        <a:noFill/>
        <a:ln>
          <a:noFill/>
        </a:ln>
        <a:effectLst/>
      </c:spPr>
      <c:txPr>
        <a:bodyPr rot="0" spcFirstLastPara="0" vertOverflow="ellipsis" horzOverflow="overflow"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noFill/>
      <a:prstDash val="solid"/>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241829052841151"/>
          <c:y val="0.0852641097844932"/>
          <c:w val="0.367897957999163"/>
          <c:h val="0.789634392258015"/>
        </c:manualLayout>
      </c:layout>
      <c:doughnutChart>
        <c:varyColors val="true"/>
        <c:ser>
          <c:idx val="0"/>
          <c:order val="0"/>
          <c:tx>
            <c:strRef>
              <c:f>Sheet1!$B$1</c:f>
              <c:strCache>
                <c:ptCount val="1"/>
                <c:pt idx="0">
                  <c:v>毕业生去向分析</c:v>
                </c:pt>
              </c:strCache>
            </c:strRef>
          </c:tx>
          <c:spPr>
            <a:effectLst/>
          </c:spPr>
          <c:explosion val="0"/>
          <c:dPt>
            <c:idx val="0"/>
            <c:bubble3D val="false"/>
            <c:spPr>
              <a:gradFill rotWithShape="true">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false"/>
              </a:gradFill>
              <a:ln>
                <a:noFill/>
              </a:ln>
              <a:effectLst>
                <a:outerShdw blurRad="40000" dist="23000" dir="5400000" rotWithShape="0">
                  <a:srgbClr val="000000">
                    <a:alpha val="35000"/>
                  </a:srgbClr>
                </a:outerShdw>
              </a:effectLst>
            </c:spPr>
          </c:dPt>
          <c:dPt>
            <c:idx val="1"/>
            <c:bubble3D val="false"/>
            <c:spPr>
              <a:gradFill rotWithShape="true">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false"/>
              </a:gradFill>
              <a:ln>
                <a:noFill/>
              </a:ln>
              <a:effectLst>
                <a:outerShdw blurRad="40000" dist="23000" dir="5400000" rotWithShape="0">
                  <a:srgbClr val="000000">
                    <a:alpha val="35000"/>
                  </a:srgbClr>
                </a:outerShdw>
              </a:effectLst>
            </c:spPr>
          </c:dPt>
          <c:dPt>
            <c:idx val="2"/>
            <c:bubble3D val="false"/>
            <c:spPr>
              <a:gradFill rotWithShape="true">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false"/>
              </a:gradFill>
              <a:ln>
                <a:noFill/>
              </a:ln>
              <a:effectLst>
                <a:outerShdw blurRad="40000" dist="23000" dir="5400000" rotWithShape="0">
                  <a:srgbClr val="000000">
                    <a:alpha val="35000"/>
                  </a:srgbClr>
                </a:outerShdw>
              </a:effectLst>
            </c:spPr>
          </c:dPt>
          <c:dLbls>
            <c:dLbl>
              <c:idx val="0"/>
              <c:layout>
                <c:manualLayout>
                  <c:x val="0.134694711160829"/>
                  <c:y val="0.131759628817736"/>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showLegendKey val="false"/>
              <c:showVal val="true"/>
              <c:showCatName val="true"/>
              <c:showSerName val="false"/>
              <c:showPercent val="false"/>
              <c:showBubbleSize val="false"/>
              <c:extLst>
                <c:ext xmlns:c15="http://schemas.microsoft.com/office/drawing/2012/chart" uri="{CE6537A1-D6FC-4f65-9D91-7224C49458BB}">
                  <c15:layout/>
                </c:ext>
              </c:extLst>
            </c:dLbl>
            <c:dLbl>
              <c:idx val="1"/>
              <c:layout>
                <c:manualLayout>
                  <c:x val="-0.148580001879769"/>
                  <c:y val="0.076326027903782"/>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showLegendKey val="false"/>
              <c:showVal val="true"/>
              <c:showCatName val="true"/>
              <c:showSerName val="false"/>
              <c:showPercent val="false"/>
              <c:showBubbleSize val="false"/>
              <c:extLst>
                <c:ext xmlns:c15="http://schemas.microsoft.com/office/drawing/2012/chart" uri="{CE6537A1-D6FC-4f65-9D91-7224C49458BB}">
                  <c15:layout/>
                </c:ext>
              </c:extLst>
            </c:dLbl>
            <c:dLbl>
              <c:idx val="2"/>
              <c:layout>
                <c:manualLayout>
                  <c:x val="-0.118607726483525"/>
                  <c:y val="-0.179828316199816"/>
                </c:manualLayout>
              </c:layout>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showLegendKey val="false"/>
              <c:showVal val="true"/>
              <c:showCatName val="tru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horzOverflow="overflow" vert="horz" wrap="square" lIns="38100" tIns="19050" rIns="38100" bIns="19050" anchor="ctr" anchorCtr="true"/>
              <a:lstStyle/>
              <a:p>
                <a:pPr>
                  <a:defRPr lang="zh-CN" sz="1000" b="0" i="0" u="none" strike="noStrike" kern="1200" baseline="0">
                    <a:solidFill>
                      <a:schemeClr val="tx1"/>
                    </a:solidFill>
                    <a:latin typeface="+mn-lt"/>
                    <a:ea typeface="+mn-ea"/>
                    <a:cs typeface="+mn-cs"/>
                  </a:defRPr>
                </a:pPr>
              </a:p>
            </c:txPr>
            <c:showLegendKey val="false"/>
            <c:showVal val="true"/>
            <c:showCatName val="tru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solidFill>
                      <a:prstDash val="solid"/>
                      <a:round/>
                    </a:ln>
                    <a:effectLst/>
                  </c:spPr>
                </c15:leaderLines>
              </c:ext>
            </c:extLst>
          </c:dLbls>
          <c:cat>
            <c:strRef>
              <c:f>Sheet1!$A$2:$A$4</c:f>
              <c:strCache>
                <c:ptCount val="3"/>
                <c:pt idx="0">
                  <c:v>第一产业</c:v>
                </c:pt>
                <c:pt idx="1">
                  <c:v>第二产业</c:v>
                </c:pt>
                <c:pt idx="2">
                  <c:v>第三产业</c:v>
                </c:pt>
              </c:strCache>
            </c:strRef>
          </c:cat>
          <c:val>
            <c:numRef>
              <c:f>Sheet1!$B$2:$B$4</c:f>
              <c:numCache>
                <c:formatCode>0%</c:formatCode>
                <c:ptCount val="3"/>
                <c:pt idx="0">
                  <c:v>0.58</c:v>
                </c:pt>
                <c:pt idx="1">
                  <c:v>0.05</c:v>
                </c:pt>
                <c:pt idx="2">
                  <c:v>0.37</c:v>
                </c:pt>
              </c:numCache>
            </c:numRef>
          </c:val>
        </c:ser>
        <c:dLbls>
          <c:showLegendKey val="false"/>
          <c:showVal val="true"/>
          <c:showCatName val="true"/>
          <c:showSerName val="false"/>
          <c:showPercent val="false"/>
          <c:showBubbleSize val="false"/>
          <c:showLeaderLines val="true"/>
        </c:dLbls>
        <c:firstSliceAng val="0"/>
        <c:holeSize val="50"/>
      </c:doughnutChart>
      <c:spPr>
        <a:noFill/>
        <a:ln>
          <a:noFill/>
        </a:ln>
        <a:effectLst/>
      </c:spPr>
    </c:plotArea>
    <c:legend>
      <c:legendPos val="r"/>
      <c:layout/>
      <c:overlay val="false"/>
      <c:spPr>
        <a:noFill/>
        <a:ln>
          <a:noFill/>
        </a:ln>
        <a:effectLst/>
      </c:spPr>
      <c:txPr>
        <a:bodyPr rot="0" spcFirstLastPara="0" vertOverflow="ellipsis" horzOverflow="overflow" vert="horz" wrap="square" anchor="ctr" anchorCtr="true"/>
        <a:lstStyle/>
        <a:p>
          <a:pPr>
            <a:defRPr lang="zh-CN" sz="1000" b="0" i="0" u="none" strike="noStrike" kern="1200" baseline="0">
              <a:solidFill>
                <a:schemeClr val="tx1"/>
              </a:solidFill>
              <a:latin typeface="+mn-lt"/>
              <a:ea typeface="+mn-ea"/>
              <a:cs typeface="+mn-cs"/>
            </a:defRPr>
          </a:pPr>
        </a:p>
      </c:txPr>
    </c:legend>
    <c:plotVisOnly val="true"/>
    <c:dispBlanksAs val="zero"/>
    <c:showDLblsOverMax val="false"/>
  </c:chart>
  <c:spPr>
    <a:solidFill>
      <a:schemeClr val="bg1"/>
    </a:solidFill>
    <a:ln w="9525" cap="flat" cmpd="sng" algn="ctr">
      <a:noFill/>
      <a:prstDash val="solid"/>
      <a:round/>
    </a:ln>
    <a:effectLst/>
  </c:spPr>
  <c:txPr>
    <a:bodyPr rot="0" spcFirstLastPara="0" vertOverflow="ellipsis" horzOverflow="overflow" vert="horz" wrap="square" anchor="ctr" anchorCtr="true"/>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60</Pages>
  <Words>22711</Words>
  <Characters>24069</Characters>
  <Lines>196</Lines>
  <Paragraphs>55</Paragraphs>
  <TotalTime>40</TotalTime>
  <ScaleCrop>false</ScaleCrop>
  <LinksUpToDate>false</LinksUpToDate>
  <CharactersWithSpaces>24668</CharactersWithSpaces>
  <Application>WPS Office_11.1.0.10161_F1E327BC-269C-435d-A152-05C5408002CA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2018-12-15T08:45:00Z</dcterms:created>
  <dc:creator>Administrator</dc:creator>
  <cp:lastModifiedBy>user</cp:lastModifiedBy>
  <cp:lastPrinted>2019-12-24T08:03:00Z</cp:lastPrinted>
  <dcterms:modified xsi:type="dcterms:W3CDTF">2023-02-13T10:11:39Z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2052-11.1.0.10161</vt:lpwstr>
  </property>
</Properties>
</file>